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E6" w:rsidRDefault="002C3BB7">
      <w:pPr>
        <w:jc w:val="center"/>
        <w:rPr>
          <w:b/>
          <w:bCs/>
          <w:color w:val="9933FF"/>
          <w:sz w:val="28"/>
        </w:rPr>
      </w:pPr>
      <w:bookmarkStart w:id="0" w:name="_GoBack"/>
      <w:bookmarkEnd w:id="0"/>
      <w:r>
        <w:rPr>
          <w:b/>
          <w:bCs/>
          <w:color w:val="9933FF"/>
          <w:sz w:val="28"/>
        </w:rPr>
        <w:t>MULTI WORD VERBS</w:t>
      </w:r>
    </w:p>
    <w:p w:rsidR="00C147E6" w:rsidRDefault="00C147E6"/>
    <w:tbl>
      <w:tblPr>
        <w:tblW w:w="0" w:type="auto"/>
        <w:tblInd w:w="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3477"/>
      </w:tblGrid>
      <w:tr w:rsidR="00C147E6">
        <w:tc>
          <w:tcPr>
            <w:tcW w:w="1598" w:type="dxa"/>
            <w:tcBorders>
              <w:top w:val="single" w:sz="20" w:space="0" w:color="00FFFF"/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bring up</w:t>
            </w:r>
          </w:p>
        </w:tc>
        <w:tc>
          <w:tcPr>
            <w:tcW w:w="3477" w:type="dxa"/>
            <w:tcBorders>
              <w:top w:val="single" w:sz="20" w:space="0" w:color="00FFFF"/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look after, educate (a child)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bring up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mention in conversation)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carry on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continue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drop out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leave, not complete 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fall out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quarrel and no longer be friends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get on with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have a good relationship with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get over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recover  from an illness or shock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give up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stop (a job, a habit, e.g. smoking)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go trough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experience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grow up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change from child to adult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look after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take care of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make up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invent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make it up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be friends again after an argument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pick up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learn unconsciously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put off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postpone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be taken aback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be surprised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take after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resemble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turn out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be in the end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take over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take control of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to come across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to meet by chance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call off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to stop a process you started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run out of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no any more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get on/off 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bus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turn on/off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lights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 xml:space="preserve">turn up/down 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volume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take off/put on</w:t>
            </w:r>
          </w:p>
        </w:tc>
        <w:tc>
          <w:tcPr>
            <w:tcW w:w="3477" w:type="dxa"/>
            <w:tcBorders>
              <w:left w:val="single" w:sz="8" w:space="0" w:color="00FFFF"/>
              <w:right w:val="single" w:sz="20" w:space="0" w:color="00FFFF"/>
            </w:tcBorders>
            <w:shd w:val="clear" w:color="auto" w:fill="CCFFFF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clothes</w:t>
            </w:r>
          </w:p>
        </w:tc>
      </w:tr>
      <w:tr w:rsidR="00C147E6">
        <w:tc>
          <w:tcPr>
            <w:tcW w:w="1598" w:type="dxa"/>
            <w:tcBorders>
              <w:left w:val="single" w:sz="20" w:space="0" w:color="00FFFF"/>
              <w:bottom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brought up</w:t>
            </w:r>
          </w:p>
        </w:tc>
        <w:tc>
          <w:tcPr>
            <w:tcW w:w="3477" w:type="dxa"/>
            <w:tcBorders>
              <w:left w:val="single" w:sz="8" w:space="0" w:color="00FFFF"/>
              <w:bottom w:val="single" w:sz="20" w:space="0" w:color="00FFFF"/>
              <w:right w:val="single" w:sz="20" w:space="0" w:color="00FFFF"/>
            </w:tcBorders>
            <w:shd w:val="clear" w:color="auto" w:fill="FFFF99"/>
          </w:tcPr>
          <w:p w:rsidR="00C147E6" w:rsidRDefault="002C3BB7">
            <w:pPr>
              <w:snapToGrid w:val="0"/>
              <w:rPr>
                <w:iCs/>
              </w:rPr>
            </w:pPr>
            <w:r>
              <w:rPr>
                <w:iCs/>
              </w:rPr>
              <w:t>to edify (vzgojiti)</w:t>
            </w:r>
          </w:p>
        </w:tc>
      </w:tr>
    </w:tbl>
    <w:p w:rsidR="00C147E6" w:rsidRDefault="00C147E6">
      <w:pPr>
        <w:ind w:left="-142" w:firstLine="142"/>
      </w:pPr>
    </w:p>
    <w:sectPr w:rsidR="00C147E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3BB7"/>
    <w:rsid w:val="00207215"/>
    <w:rsid w:val="002C3BB7"/>
    <w:rsid w:val="00C1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