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432" w:rsidRPr="00624432" w:rsidRDefault="00624432" w:rsidP="00624432">
      <w:pPr>
        <w:rPr>
          <w:b/>
          <w:sz w:val="20"/>
          <w:szCs w:val="20"/>
          <w:u w:val="single"/>
          <w:lang w:eastAsia="sl-SI"/>
        </w:rPr>
      </w:pPr>
      <w:bookmarkStart w:id="0" w:name="_GoBack"/>
      <w:bookmarkEnd w:id="0"/>
      <w:r w:rsidRPr="00624432">
        <w:rPr>
          <w:b/>
          <w:sz w:val="20"/>
          <w:szCs w:val="20"/>
          <w:u w:val="single"/>
          <w:lang w:eastAsia="sl-SI"/>
        </w:rPr>
        <w:t xml:space="preserve">Negative prefixes </w:t>
      </w:r>
    </w:p>
    <w:p w:rsidR="00624432" w:rsidRDefault="00624432" w:rsidP="00624432">
      <w:pPr>
        <w:rPr>
          <w:sz w:val="20"/>
          <w:szCs w:val="20"/>
          <w:lang w:eastAsia="sl-SI"/>
        </w:rPr>
      </w:pPr>
      <w:r w:rsidRPr="00624432">
        <w:rPr>
          <w:sz w:val="20"/>
          <w:szCs w:val="20"/>
          <w:lang w:eastAsia="sl-SI"/>
        </w:rPr>
        <w:t xml:space="preserve">Negative statements are the opposite of affirmative statements. In English, one way to make negative statements is by adding negative prefixes to nouns, adjectives, and verbs. Here are some English negative prefixes: </w:t>
      </w:r>
      <w:r w:rsidRPr="00624432">
        <w:rPr>
          <w:i/>
          <w:iCs/>
          <w:sz w:val="20"/>
          <w:szCs w:val="20"/>
          <w:lang w:eastAsia="sl-SI"/>
        </w:rPr>
        <w:t>a</w:t>
      </w:r>
      <w:r w:rsidRPr="00624432">
        <w:rPr>
          <w:sz w:val="20"/>
          <w:szCs w:val="20"/>
          <w:lang w:eastAsia="sl-SI"/>
        </w:rPr>
        <w:t xml:space="preserve">-, </w:t>
      </w:r>
      <w:r w:rsidRPr="00624432">
        <w:rPr>
          <w:i/>
          <w:iCs/>
          <w:sz w:val="20"/>
          <w:szCs w:val="20"/>
          <w:lang w:eastAsia="sl-SI"/>
        </w:rPr>
        <w:t>dis</w:t>
      </w:r>
      <w:r w:rsidRPr="00624432">
        <w:rPr>
          <w:sz w:val="20"/>
          <w:szCs w:val="20"/>
          <w:lang w:eastAsia="sl-SI"/>
        </w:rPr>
        <w:t xml:space="preserve">-, </w:t>
      </w:r>
      <w:r w:rsidRPr="00624432">
        <w:rPr>
          <w:i/>
          <w:iCs/>
          <w:sz w:val="20"/>
          <w:szCs w:val="20"/>
          <w:lang w:eastAsia="sl-SI"/>
        </w:rPr>
        <w:t>il</w:t>
      </w:r>
      <w:r w:rsidRPr="00624432">
        <w:rPr>
          <w:sz w:val="20"/>
          <w:szCs w:val="20"/>
          <w:lang w:eastAsia="sl-SI"/>
        </w:rPr>
        <w:t xml:space="preserve">-, im-, </w:t>
      </w:r>
      <w:r w:rsidRPr="00624432">
        <w:rPr>
          <w:i/>
          <w:iCs/>
          <w:sz w:val="20"/>
          <w:szCs w:val="20"/>
          <w:lang w:eastAsia="sl-SI"/>
        </w:rPr>
        <w:t>in-</w:t>
      </w:r>
      <w:r w:rsidRPr="00624432">
        <w:rPr>
          <w:sz w:val="20"/>
          <w:szCs w:val="20"/>
          <w:lang w:eastAsia="sl-SI"/>
        </w:rPr>
        <w:t xml:space="preserve">, </w:t>
      </w:r>
      <w:r w:rsidRPr="00624432">
        <w:rPr>
          <w:i/>
          <w:iCs/>
          <w:sz w:val="20"/>
          <w:szCs w:val="20"/>
          <w:lang w:eastAsia="sl-SI"/>
        </w:rPr>
        <w:t>ir</w:t>
      </w:r>
      <w:r w:rsidRPr="00624432">
        <w:rPr>
          <w:sz w:val="20"/>
          <w:szCs w:val="20"/>
          <w:lang w:eastAsia="sl-SI"/>
        </w:rPr>
        <w:t xml:space="preserve">-, </w:t>
      </w:r>
      <w:r w:rsidRPr="00624432">
        <w:rPr>
          <w:i/>
          <w:iCs/>
          <w:sz w:val="20"/>
          <w:szCs w:val="20"/>
          <w:lang w:eastAsia="sl-SI"/>
        </w:rPr>
        <w:t>non</w:t>
      </w:r>
      <w:r w:rsidRPr="00624432">
        <w:rPr>
          <w:sz w:val="20"/>
          <w:szCs w:val="20"/>
          <w:lang w:eastAsia="sl-SI"/>
        </w:rPr>
        <w:t xml:space="preserve">-, </w:t>
      </w:r>
      <w:r w:rsidRPr="00624432">
        <w:rPr>
          <w:i/>
          <w:iCs/>
          <w:sz w:val="20"/>
          <w:szCs w:val="20"/>
          <w:lang w:eastAsia="sl-SI"/>
        </w:rPr>
        <w:t>un</w:t>
      </w:r>
      <w:r w:rsidRPr="00624432">
        <w:rPr>
          <w:sz w:val="20"/>
          <w:szCs w:val="20"/>
          <w:lang w:eastAsia="sl-SI"/>
        </w:rPr>
        <w:t>-.</w:t>
      </w:r>
    </w:p>
    <w:p w:rsidR="00624432" w:rsidRPr="00624432" w:rsidRDefault="00624432" w:rsidP="00624432">
      <w:pPr>
        <w:rPr>
          <w:sz w:val="20"/>
          <w:szCs w:val="20"/>
          <w:lang w:eastAsia="sl-SI"/>
        </w:rPr>
      </w:pPr>
    </w:p>
    <w:p w:rsidR="00624432" w:rsidRPr="00624432" w:rsidRDefault="00624432" w:rsidP="00624432">
      <w:pPr>
        <w:rPr>
          <w:sz w:val="20"/>
          <w:szCs w:val="20"/>
          <w:lang w:eastAsia="sl-SI"/>
        </w:rPr>
      </w:pPr>
      <w:r w:rsidRPr="00624432">
        <w:rPr>
          <w:sz w:val="20"/>
          <w:szCs w:val="20"/>
          <w:lang w:eastAsia="sl-SI"/>
        </w:rPr>
        <w:t xml:space="preserve">Words that take </w:t>
      </w:r>
      <w:r w:rsidRPr="00624432">
        <w:rPr>
          <w:i/>
          <w:iCs/>
          <w:sz w:val="20"/>
          <w:szCs w:val="20"/>
          <w:lang w:eastAsia="sl-SI"/>
        </w:rPr>
        <w:t>a-</w:t>
      </w:r>
      <w:r w:rsidRPr="00624432">
        <w:rPr>
          <w:sz w:val="20"/>
          <w:szCs w:val="20"/>
          <w:lang w:eastAsia="sl-SI"/>
        </w:rPr>
        <w:t xml:space="preserve"> as a negative prefix always begin with a </w:t>
      </w:r>
      <w:hyperlink r:id="rId4" w:history="1">
        <w:r w:rsidRPr="00624432">
          <w:rPr>
            <w:color w:val="0000FF"/>
            <w:sz w:val="20"/>
            <w:szCs w:val="20"/>
            <w:u w:val="single"/>
            <w:lang w:eastAsia="sl-SI"/>
          </w:rPr>
          <w:t>consonant</w:t>
        </w:r>
      </w:hyperlink>
      <w:r w:rsidRPr="00624432">
        <w:rPr>
          <w:sz w:val="20"/>
          <w:szCs w:val="20"/>
          <w:lang w:eastAsia="sl-SI"/>
        </w:rPr>
        <w:t>.</w:t>
      </w:r>
    </w:p>
    <w:tbl>
      <w:tblPr>
        <w:tblW w:w="0" w:type="auto"/>
        <w:tblCellMar>
          <w:top w:w="60" w:type="dxa"/>
          <w:left w:w="60" w:type="dxa"/>
          <w:bottom w:w="60" w:type="dxa"/>
          <w:right w:w="60" w:type="dxa"/>
        </w:tblCellMar>
        <w:tblLook w:val="04A0" w:firstRow="1" w:lastRow="0" w:firstColumn="1" w:lastColumn="0" w:noHBand="0" w:noVBand="1"/>
      </w:tblPr>
      <w:tblGrid>
        <w:gridCol w:w="1076"/>
        <w:gridCol w:w="170"/>
        <w:gridCol w:w="865"/>
      </w:tblGrid>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b/>
                <w:sz w:val="20"/>
                <w:szCs w:val="20"/>
                <w:lang w:eastAsia="sl-SI"/>
              </w:rPr>
            </w:pPr>
            <w:r w:rsidRPr="003032CA">
              <w:rPr>
                <w:b/>
                <w:sz w:val="20"/>
                <w:szCs w:val="20"/>
                <w:lang w:eastAsia="sl-SI"/>
              </w:rPr>
              <w:t>affirmative</w:t>
            </w:r>
          </w:p>
        </w:tc>
        <w:tc>
          <w:tcPr>
            <w:tcW w:w="0" w:type="auto"/>
            <w:vMerge w:val="restart"/>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b/>
                <w:sz w:val="20"/>
                <w:szCs w:val="20"/>
                <w:lang w:eastAsia="sl-SI"/>
              </w:rPr>
            </w:pPr>
            <w:r w:rsidRPr="003032CA">
              <w:rPr>
                <w:b/>
                <w:sz w:val="20"/>
                <w:szCs w:val="20"/>
                <w:lang w:eastAsia="sl-SI"/>
              </w:rPr>
              <w:t> </w:t>
            </w: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b/>
                <w:sz w:val="20"/>
                <w:szCs w:val="20"/>
                <w:lang w:eastAsia="sl-SI"/>
              </w:rPr>
            </w:pPr>
            <w:r w:rsidRPr="003032CA">
              <w:rPr>
                <w:b/>
                <w:sz w:val="20"/>
                <w:szCs w:val="20"/>
                <w:lang w:eastAsia="sl-SI"/>
              </w:rPr>
              <w:t>negative</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political</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apolitical</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sexual</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asexual</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theist</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atheist</w:t>
            </w:r>
          </w:p>
        </w:tc>
      </w:tr>
    </w:tbl>
    <w:p w:rsidR="00624432" w:rsidRDefault="00624432" w:rsidP="00624432">
      <w:pPr>
        <w:rPr>
          <w:sz w:val="20"/>
          <w:szCs w:val="20"/>
          <w:lang w:eastAsia="sl-SI"/>
        </w:rPr>
      </w:pPr>
    </w:p>
    <w:p w:rsidR="00624432" w:rsidRPr="00624432" w:rsidRDefault="00624432" w:rsidP="00624432">
      <w:pPr>
        <w:rPr>
          <w:sz w:val="20"/>
          <w:szCs w:val="20"/>
          <w:lang w:eastAsia="sl-SI"/>
        </w:rPr>
      </w:pPr>
      <w:r w:rsidRPr="00624432">
        <w:rPr>
          <w:sz w:val="20"/>
          <w:szCs w:val="20"/>
          <w:lang w:eastAsia="sl-SI"/>
        </w:rPr>
        <w:t xml:space="preserve">Words that take </w:t>
      </w:r>
      <w:r w:rsidRPr="00624432">
        <w:rPr>
          <w:i/>
          <w:iCs/>
          <w:sz w:val="20"/>
          <w:szCs w:val="20"/>
          <w:lang w:eastAsia="sl-SI"/>
        </w:rPr>
        <w:t>dis</w:t>
      </w:r>
      <w:r w:rsidRPr="00624432">
        <w:rPr>
          <w:sz w:val="20"/>
          <w:szCs w:val="20"/>
          <w:lang w:eastAsia="sl-SI"/>
        </w:rPr>
        <w:t xml:space="preserve">- as a negative prefix may begin with a </w:t>
      </w:r>
      <w:hyperlink r:id="rId5" w:history="1">
        <w:r w:rsidRPr="00624432">
          <w:rPr>
            <w:color w:val="0000FF"/>
            <w:sz w:val="20"/>
            <w:szCs w:val="20"/>
            <w:u w:val="single"/>
            <w:lang w:eastAsia="sl-SI"/>
          </w:rPr>
          <w:t>vowel</w:t>
        </w:r>
      </w:hyperlink>
      <w:r w:rsidRPr="00624432">
        <w:rPr>
          <w:sz w:val="20"/>
          <w:szCs w:val="20"/>
          <w:lang w:eastAsia="sl-SI"/>
        </w:rPr>
        <w:t xml:space="preserve"> or a consonant.</w:t>
      </w:r>
    </w:p>
    <w:tbl>
      <w:tblPr>
        <w:tblW w:w="0" w:type="auto"/>
        <w:tblCellMar>
          <w:top w:w="60" w:type="dxa"/>
          <w:left w:w="60" w:type="dxa"/>
          <w:bottom w:w="60" w:type="dxa"/>
          <w:right w:w="60" w:type="dxa"/>
        </w:tblCellMar>
        <w:tblLook w:val="04A0" w:firstRow="1" w:lastRow="0" w:firstColumn="1" w:lastColumn="0" w:noHBand="0" w:noVBand="1"/>
      </w:tblPr>
      <w:tblGrid>
        <w:gridCol w:w="1076"/>
        <w:gridCol w:w="170"/>
        <w:gridCol w:w="987"/>
      </w:tblGrid>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b/>
                <w:sz w:val="20"/>
                <w:szCs w:val="20"/>
                <w:lang w:eastAsia="sl-SI"/>
              </w:rPr>
            </w:pPr>
            <w:r w:rsidRPr="003032CA">
              <w:rPr>
                <w:b/>
                <w:sz w:val="20"/>
                <w:szCs w:val="20"/>
                <w:lang w:eastAsia="sl-SI"/>
              </w:rPr>
              <w:t>affirmative</w:t>
            </w:r>
          </w:p>
        </w:tc>
        <w:tc>
          <w:tcPr>
            <w:tcW w:w="0" w:type="auto"/>
            <w:vMerge w:val="restart"/>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b/>
                <w:sz w:val="20"/>
                <w:szCs w:val="20"/>
                <w:lang w:eastAsia="sl-SI"/>
              </w:rPr>
            </w:pPr>
            <w:r w:rsidRPr="003032CA">
              <w:rPr>
                <w:b/>
                <w:sz w:val="20"/>
                <w:szCs w:val="20"/>
                <w:lang w:eastAsia="sl-SI"/>
              </w:rPr>
              <w:t> </w:t>
            </w: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b/>
                <w:sz w:val="20"/>
                <w:szCs w:val="20"/>
                <w:lang w:eastAsia="sl-SI"/>
              </w:rPr>
            </w:pPr>
            <w:r w:rsidRPr="003032CA">
              <w:rPr>
                <w:b/>
                <w:sz w:val="20"/>
                <w:szCs w:val="20"/>
                <w:lang w:eastAsia="sl-SI"/>
              </w:rPr>
              <w:t>negative</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agree</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disagree</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comfort</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discomfort</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mount</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dismount</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orient</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disorient</w:t>
            </w:r>
          </w:p>
        </w:tc>
      </w:tr>
    </w:tbl>
    <w:p w:rsidR="00624432" w:rsidRDefault="00624432" w:rsidP="00624432">
      <w:pPr>
        <w:rPr>
          <w:sz w:val="20"/>
          <w:szCs w:val="20"/>
          <w:lang w:eastAsia="sl-SI"/>
        </w:rPr>
      </w:pPr>
    </w:p>
    <w:p w:rsidR="00624432" w:rsidRPr="00624432" w:rsidRDefault="00624432" w:rsidP="00624432">
      <w:pPr>
        <w:rPr>
          <w:sz w:val="20"/>
          <w:szCs w:val="20"/>
          <w:lang w:eastAsia="sl-SI"/>
        </w:rPr>
      </w:pPr>
      <w:r w:rsidRPr="00624432">
        <w:rPr>
          <w:sz w:val="20"/>
          <w:szCs w:val="20"/>
          <w:lang w:eastAsia="sl-SI"/>
        </w:rPr>
        <w:t xml:space="preserve">Words that take </w:t>
      </w:r>
      <w:r w:rsidRPr="00624432">
        <w:rPr>
          <w:i/>
          <w:iCs/>
          <w:sz w:val="20"/>
          <w:szCs w:val="20"/>
          <w:lang w:eastAsia="sl-SI"/>
        </w:rPr>
        <w:t>il</w:t>
      </w:r>
      <w:r w:rsidRPr="00624432">
        <w:rPr>
          <w:sz w:val="20"/>
          <w:szCs w:val="20"/>
          <w:lang w:eastAsia="sl-SI"/>
        </w:rPr>
        <w:t xml:space="preserve">- as a negative prefix always begin with the letter </w:t>
      </w:r>
      <w:r w:rsidRPr="00624432">
        <w:rPr>
          <w:i/>
          <w:iCs/>
          <w:sz w:val="20"/>
          <w:szCs w:val="20"/>
          <w:lang w:eastAsia="sl-SI"/>
        </w:rPr>
        <w:t>l</w:t>
      </w:r>
      <w:r w:rsidRPr="00624432">
        <w:rPr>
          <w:sz w:val="20"/>
          <w:szCs w:val="20"/>
          <w:lang w:eastAsia="sl-SI"/>
        </w:rPr>
        <w:t>.</w:t>
      </w:r>
    </w:p>
    <w:tbl>
      <w:tblPr>
        <w:tblW w:w="0" w:type="auto"/>
        <w:tblCellMar>
          <w:top w:w="60" w:type="dxa"/>
          <w:left w:w="60" w:type="dxa"/>
          <w:bottom w:w="60" w:type="dxa"/>
          <w:right w:w="60" w:type="dxa"/>
        </w:tblCellMar>
        <w:tblLook w:val="04A0" w:firstRow="1" w:lastRow="0" w:firstColumn="1" w:lastColumn="0" w:noHBand="0" w:noVBand="1"/>
      </w:tblPr>
      <w:tblGrid>
        <w:gridCol w:w="1076"/>
        <w:gridCol w:w="170"/>
        <w:gridCol w:w="831"/>
      </w:tblGrid>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b/>
                <w:sz w:val="20"/>
                <w:szCs w:val="20"/>
                <w:lang w:eastAsia="sl-SI"/>
              </w:rPr>
            </w:pPr>
            <w:r w:rsidRPr="003032CA">
              <w:rPr>
                <w:b/>
                <w:sz w:val="20"/>
                <w:szCs w:val="20"/>
                <w:lang w:eastAsia="sl-SI"/>
              </w:rPr>
              <w:t>affirmative</w:t>
            </w:r>
          </w:p>
        </w:tc>
        <w:tc>
          <w:tcPr>
            <w:tcW w:w="0" w:type="auto"/>
            <w:vMerge w:val="restart"/>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b/>
                <w:sz w:val="20"/>
                <w:szCs w:val="20"/>
                <w:lang w:eastAsia="sl-SI"/>
              </w:rPr>
            </w:pPr>
            <w:r w:rsidRPr="003032CA">
              <w:rPr>
                <w:b/>
                <w:sz w:val="20"/>
                <w:szCs w:val="20"/>
                <w:lang w:eastAsia="sl-SI"/>
              </w:rPr>
              <w:t> </w:t>
            </w: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b/>
                <w:sz w:val="20"/>
                <w:szCs w:val="20"/>
                <w:lang w:eastAsia="sl-SI"/>
              </w:rPr>
            </w:pPr>
            <w:r w:rsidRPr="003032CA">
              <w:rPr>
                <w:b/>
                <w:sz w:val="20"/>
                <w:szCs w:val="20"/>
                <w:lang w:eastAsia="sl-SI"/>
              </w:rPr>
              <w:t>negative</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legal</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illegal</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legible</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illegible</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literate</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illiterate</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logical</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illogical</w:t>
            </w:r>
          </w:p>
        </w:tc>
      </w:tr>
    </w:tbl>
    <w:p w:rsidR="00624432" w:rsidRDefault="00624432" w:rsidP="00624432">
      <w:pPr>
        <w:rPr>
          <w:sz w:val="20"/>
          <w:szCs w:val="20"/>
          <w:lang w:eastAsia="sl-SI"/>
        </w:rPr>
      </w:pPr>
    </w:p>
    <w:p w:rsidR="00624432" w:rsidRPr="00624432" w:rsidRDefault="00624432" w:rsidP="00624432">
      <w:pPr>
        <w:rPr>
          <w:sz w:val="20"/>
          <w:szCs w:val="20"/>
          <w:lang w:eastAsia="sl-SI"/>
        </w:rPr>
      </w:pPr>
      <w:r w:rsidRPr="00624432">
        <w:rPr>
          <w:sz w:val="20"/>
          <w:szCs w:val="20"/>
          <w:lang w:eastAsia="sl-SI"/>
        </w:rPr>
        <w:t xml:space="preserve">Words that take </w:t>
      </w:r>
      <w:r w:rsidRPr="00624432">
        <w:rPr>
          <w:i/>
          <w:iCs/>
          <w:sz w:val="20"/>
          <w:szCs w:val="20"/>
          <w:lang w:eastAsia="sl-SI"/>
        </w:rPr>
        <w:t>im</w:t>
      </w:r>
      <w:r w:rsidRPr="00624432">
        <w:rPr>
          <w:sz w:val="20"/>
          <w:szCs w:val="20"/>
          <w:lang w:eastAsia="sl-SI"/>
        </w:rPr>
        <w:t xml:space="preserve">- as a negative prefix always begin with the letter </w:t>
      </w:r>
      <w:r w:rsidRPr="00624432">
        <w:rPr>
          <w:i/>
          <w:iCs/>
          <w:sz w:val="20"/>
          <w:szCs w:val="20"/>
          <w:lang w:eastAsia="sl-SI"/>
        </w:rPr>
        <w:t>m</w:t>
      </w:r>
      <w:r w:rsidRPr="00624432">
        <w:rPr>
          <w:sz w:val="20"/>
          <w:szCs w:val="20"/>
          <w:lang w:eastAsia="sl-SI"/>
        </w:rPr>
        <w:t xml:space="preserve"> or </w:t>
      </w:r>
      <w:r w:rsidRPr="00624432">
        <w:rPr>
          <w:i/>
          <w:iCs/>
          <w:sz w:val="20"/>
          <w:szCs w:val="20"/>
          <w:lang w:eastAsia="sl-SI"/>
        </w:rPr>
        <w:t>p</w:t>
      </w:r>
      <w:r w:rsidRPr="00624432">
        <w:rPr>
          <w:sz w:val="20"/>
          <w:szCs w:val="20"/>
          <w:lang w:eastAsia="sl-SI"/>
        </w:rPr>
        <w:t>.</w:t>
      </w:r>
    </w:p>
    <w:tbl>
      <w:tblPr>
        <w:tblW w:w="0" w:type="auto"/>
        <w:tblCellMar>
          <w:top w:w="60" w:type="dxa"/>
          <w:left w:w="60" w:type="dxa"/>
          <w:bottom w:w="60" w:type="dxa"/>
          <w:right w:w="60" w:type="dxa"/>
        </w:tblCellMar>
        <w:tblLook w:val="04A0" w:firstRow="1" w:lastRow="0" w:firstColumn="1" w:lastColumn="0" w:noHBand="0" w:noVBand="1"/>
      </w:tblPr>
      <w:tblGrid>
        <w:gridCol w:w="1076"/>
        <w:gridCol w:w="170"/>
        <w:gridCol w:w="987"/>
      </w:tblGrid>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b/>
                <w:sz w:val="20"/>
                <w:szCs w:val="20"/>
                <w:lang w:eastAsia="sl-SI"/>
              </w:rPr>
            </w:pPr>
            <w:r w:rsidRPr="003032CA">
              <w:rPr>
                <w:b/>
                <w:sz w:val="20"/>
                <w:szCs w:val="20"/>
                <w:lang w:eastAsia="sl-SI"/>
              </w:rPr>
              <w:t>affirmative</w:t>
            </w:r>
          </w:p>
        </w:tc>
        <w:tc>
          <w:tcPr>
            <w:tcW w:w="0" w:type="auto"/>
            <w:vMerge w:val="restart"/>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b/>
                <w:sz w:val="20"/>
                <w:szCs w:val="20"/>
                <w:lang w:eastAsia="sl-SI"/>
              </w:rPr>
            </w:pPr>
            <w:r w:rsidRPr="003032CA">
              <w:rPr>
                <w:b/>
                <w:sz w:val="20"/>
                <w:szCs w:val="20"/>
                <w:lang w:eastAsia="sl-SI"/>
              </w:rPr>
              <w:t> </w:t>
            </w: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b/>
                <w:sz w:val="20"/>
                <w:szCs w:val="20"/>
                <w:lang w:eastAsia="sl-SI"/>
              </w:rPr>
            </w:pPr>
            <w:r w:rsidRPr="003032CA">
              <w:rPr>
                <w:b/>
                <w:sz w:val="20"/>
                <w:szCs w:val="20"/>
                <w:lang w:eastAsia="sl-SI"/>
              </w:rPr>
              <w:t>negative</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mobile</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immobile</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moral</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immoral</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perfect</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imperfect</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possible</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impossible</w:t>
            </w:r>
          </w:p>
        </w:tc>
      </w:tr>
    </w:tbl>
    <w:p w:rsidR="00624432" w:rsidRDefault="00624432" w:rsidP="00624432">
      <w:pPr>
        <w:rPr>
          <w:sz w:val="20"/>
          <w:szCs w:val="20"/>
          <w:lang w:eastAsia="sl-SI"/>
        </w:rPr>
      </w:pPr>
    </w:p>
    <w:p w:rsidR="00624432" w:rsidRPr="00624432" w:rsidRDefault="00624432" w:rsidP="00624432">
      <w:pPr>
        <w:rPr>
          <w:sz w:val="20"/>
          <w:szCs w:val="20"/>
          <w:lang w:eastAsia="sl-SI"/>
        </w:rPr>
      </w:pPr>
      <w:r w:rsidRPr="00624432">
        <w:rPr>
          <w:sz w:val="20"/>
          <w:szCs w:val="20"/>
          <w:lang w:eastAsia="sl-SI"/>
        </w:rPr>
        <w:t xml:space="preserve">Words that take </w:t>
      </w:r>
      <w:r w:rsidRPr="00624432">
        <w:rPr>
          <w:i/>
          <w:iCs/>
          <w:sz w:val="20"/>
          <w:szCs w:val="20"/>
          <w:lang w:eastAsia="sl-SI"/>
        </w:rPr>
        <w:t>in</w:t>
      </w:r>
      <w:r w:rsidRPr="00624432">
        <w:rPr>
          <w:sz w:val="20"/>
          <w:szCs w:val="20"/>
          <w:lang w:eastAsia="sl-SI"/>
        </w:rPr>
        <w:t xml:space="preserve">- as a negative prefix can begin with a vowel (except </w:t>
      </w:r>
      <w:r w:rsidRPr="00624432">
        <w:rPr>
          <w:i/>
          <w:iCs/>
          <w:sz w:val="20"/>
          <w:szCs w:val="20"/>
          <w:lang w:eastAsia="sl-SI"/>
        </w:rPr>
        <w:t>i</w:t>
      </w:r>
      <w:r w:rsidRPr="00624432">
        <w:rPr>
          <w:sz w:val="20"/>
          <w:szCs w:val="20"/>
          <w:lang w:eastAsia="sl-SI"/>
        </w:rPr>
        <w:t xml:space="preserve"> or </w:t>
      </w:r>
      <w:r w:rsidRPr="00624432">
        <w:rPr>
          <w:i/>
          <w:iCs/>
          <w:sz w:val="20"/>
          <w:szCs w:val="20"/>
          <w:lang w:eastAsia="sl-SI"/>
        </w:rPr>
        <w:t>u</w:t>
      </w:r>
      <w:r w:rsidRPr="00624432">
        <w:rPr>
          <w:sz w:val="20"/>
          <w:szCs w:val="20"/>
          <w:lang w:eastAsia="sl-SI"/>
        </w:rPr>
        <w:t>) or a consonant.</w:t>
      </w:r>
    </w:p>
    <w:tbl>
      <w:tblPr>
        <w:tblW w:w="0" w:type="auto"/>
        <w:tblCellMar>
          <w:top w:w="60" w:type="dxa"/>
          <w:left w:w="60" w:type="dxa"/>
          <w:bottom w:w="60" w:type="dxa"/>
          <w:right w:w="60" w:type="dxa"/>
        </w:tblCellMar>
        <w:tblLook w:val="04A0" w:firstRow="1" w:lastRow="0" w:firstColumn="1" w:lastColumn="0" w:noHBand="0" w:noVBand="1"/>
      </w:tblPr>
      <w:tblGrid>
        <w:gridCol w:w="1076"/>
        <w:gridCol w:w="170"/>
        <w:gridCol w:w="942"/>
      </w:tblGrid>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b/>
                <w:sz w:val="20"/>
                <w:szCs w:val="20"/>
                <w:lang w:eastAsia="sl-SI"/>
              </w:rPr>
            </w:pPr>
            <w:r w:rsidRPr="003032CA">
              <w:rPr>
                <w:b/>
                <w:sz w:val="20"/>
                <w:szCs w:val="20"/>
                <w:lang w:eastAsia="sl-SI"/>
              </w:rPr>
              <w:t>affirmative</w:t>
            </w:r>
          </w:p>
        </w:tc>
        <w:tc>
          <w:tcPr>
            <w:tcW w:w="0" w:type="auto"/>
            <w:vMerge w:val="restart"/>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b/>
                <w:sz w:val="20"/>
                <w:szCs w:val="20"/>
                <w:lang w:eastAsia="sl-SI"/>
              </w:rPr>
            </w:pPr>
            <w:r w:rsidRPr="003032CA">
              <w:rPr>
                <w:b/>
                <w:sz w:val="20"/>
                <w:szCs w:val="20"/>
                <w:lang w:eastAsia="sl-SI"/>
              </w:rPr>
              <w:t> </w:t>
            </w: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b/>
                <w:sz w:val="20"/>
                <w:szCs w:val="20"/>
                <w:lang w:eastAsia="sl-SI"/>
              </w:rPr>
            </w:pPr>
            <w:r w:rsidRPr="003032CA">
              <w:rPr>
                <w:b/>
                <w:sz w:val="20"/>
                <w:szCs w:val="20"/>
                <w:lang w:eastAsia="sl-SI"/>
              </w:rPr>
              <w:t>negative</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accurate</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inaccurate</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eligible</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ineligible</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organic</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inorganic</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decent</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indecent</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lastRenderedPageBreak/>
              <w:t>sane</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insane</w:t>
            </w:r>
          </w:p>
        </w:tc>
      </w:tr>
    </w:tbl>
    <w:p w:rsidR="00624432" w:rsidRDefault="00624432" w:rsidP="00624432">
      <w:pPr>
        <w:rPr>
          <w:sz w:val="20"/>
          <w:szCs w:val="20"/>
          <w:lang w:eastAsia="sl-SI"/>
        </w:rPr>
      </w:pPr>
    </w:p>
    <w:p w:rsidR="00624432" w:rsidRPr="00624432" w:rsidRDefault="00624432" w:rsidP="00624432">
      <w:pPr>
        <w:rPr>
          <w:sz w:val="20"/>
          <w:szCs w:val="20"/>
          <w:lang w:eastAsia="sl-SI"/>
        </w:rPr>
      </w:pPr>
      <w:r w:rsidRPr="00624432">
        <w:rPr>
          <w:b/>
          <w:sz w:val="20"/>
          <w:szCs w:val="20"/>
          <w:lang w:eastAsia="sl-SI"/>
        </w:rPr>
        <w:t>Note:</w:t>
      </w:r>
      <w:r w:rsidRPr="00624432">
        <w:rPr>
          <w:sz w:val="20"/>
          <w:szCs w:val="20"/>
          <w:lang w:eastAsia="sl-SI"/>
        </w:rPr>
        <w:t xml:space="preserve"> There are many words that begin with in- that are not words with a negative prefix. For example:</w:t>
      </w:r>
    </w:p>
    <w:tbl>
      <w:tblPr>
        <w:tblW w:w="0" w:type="auto"/>
        <w:tblCellMar>
          <w:top w:w="60" w:type="dxa"/>
          <w:left w:w="60" w:type="dxa"/>
          <w:bottom w:w="60" w:type="dxa"/>
          <w:right w:w="60" w:type="dxa"/>
        </w:tblCellMar>
        <w:tblLook w:val="04A0" w:firstRow="1" w:lastRow="0" w:firstColumn="1" w:lastColumn="0" w:noHBand="0" w:noVBand="1"/>
      </w:tblPr>
      <w:tblGrid>
        <w:gridCol w:w="720"/>
        <w:gridCol w:w="170"/>
        <w:gridCol w:w="1343"/>
      </w:tblGrid>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b/>
                <w:sz w:val="20"/>
                <w:szCs w:val="20"/>
                <w:lang w:eastAsia="sl-SI"/>
              </w:rPr>
            </w:pPr>
            <w:r w:rsidRPr="003032CA">
              <w:rPr>
                <w:b/>
                <w:sz w:val="20"/>
                <w:szCs w:val="20"/>
                <w:lang w:eastAsia="sl-SI"/>
              </w:rPr>
              <w:t>word</w:t>
            </w:r>
          </w:p>
        </w:tc>
        <w:tc>
          <w:tcPr>
            <w:tcW w:w="0" w:type="auto"/>
            <w:vMerge w:val="restart"/>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b/>
                <w:sz w:val="20"/>
                <w:szCs w:val="20"/>
                <w:lang w:eastAsia="sl-SI"/>
              </w:rPr>
            </w:pPr>
            <w:r w:rsidRPr="003032CA">
              <w:rPr>
                <w:b/>
                <w:sz w:val="20"/>
                <w:szCs w:val="20"/>
                <w:lang w:eastAsia="sl-SI"/>
              </w:rPr>
              <w:t> </w:t>
            </w: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b/>
                <w:sz w:val="20"/>
                <w:szCs w:val="20"/>
                <w:lang w:eastAsia="sl-SI"/>
              </w:rPr>
            </w:pPr>
            <w:r w:rsidRPr="003032CA">
              <w:rPr>
                <w:b/>
                <w:sz w:val="20"/>
                <w:szCs w:val="20"/>
                <w:lang w:eastAsia="sl-SI"/>
              </w:rPr>
              <w:t>does not mean</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incline</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trike/>
                <w:sz w:val="20"/>
                <w:szCs w:val="20"/>
                <w:lang w:eastAsia="sl-SI"/>
              </w:rPr>
              <w:t>not cline</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indulge</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trike/>
                <w:sz w:val="20"/>
                <w:szCs w:val="20"/>
                <w:lang w:eastAsia="sl-SI"/>
              </w:rPr>
              <w:t>not dulge</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insist</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trike/>
                <w:sz w:val="20"/>
                <w:szCs w:val="20"/>
                <w:lang w:eastAsia="sl-SI"/>
              </w:rPr>
              <w:t>not sist</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invoke</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trike/>
                <w:sz w:val="20"/>
                <w:szCs w:val="20"/>
                <w:lang w:eastAsia="sl-SI"/>
              </w:rPr>
              <w:t>not voke</w:t>
            </w:r>
          </w:p>
        </w:tc>
      </w:tr>
    </w:tbl>
    <w:p w:rsidR="00624432" w:rsidRDefault="00624432" w:rsidP="00624432">
      <w:pPr>
        <w:rPr>
          <w:sz w:val="20"/>
          <w:szCs w:val="20"/>
          <w:lang w:eastAsia="sl-SI"/>
        </w:rPr>
      </w:pPr>
    </w:p>
    <w:p w:rsidR="00624432" w:rsidRPr="00624432" w:rsidRDefault="00624432" w:rsidP="00624432">
      <w:pPr>
        <w:rPr>
          <w:sz w:val="20"/>
          <w:szCs w:val="20"/>
          <w:lang w:eastAsia="sl-SI"/>
        </w:rPr>
      </w:pPr>
      <w:r w:rsidRPr="00624432">
        <w:rPr>
          <w:sz w:val="20"/>
          <w:szCs w:val="20"/>
          <w:lang w:eastAsia="sl-SI"/>
        </w:rPr>
        <w:t xml:space="preserve">Words that take </w:t>
      </w:r>
      <w:r w:rsidRPr="00624432">
        <w:rPr>
          <w:i/>
          <w:iCs/>
          <w:sz w:val="20"/>
          <w:szCs w:val="20"/>
          <w:lang w:eastAsia="sl-SI"/>
        </w:rPr>
        <w:t>ir</w:t>
      </w:r>
      <w:r w:rsidRPr="00624432">
        <w:rPr>
          <w:sz w:val="20"/>
          <w:szCs w:val="20"/>
          <w:lang w:eastAsia="sl-SI"/>
        </w:rPr>
        <w:t xml:space="preserve">- as a negative prefix always begin with the letter </w:t>
      </w:r>
      <w:r w:rsidRPr="00624432">
        <w:rPr>
          <w:i/>
          <w:iCs/>
          <w:sz w:val="20"/>
          <w:szCs w:val="20"/>
          <w:lang w:eastAsia="sl-SI"/>
        </w:rPr>
        <w:t>r</w:t>
      </w:r>
      <w:r w:rsidRPr="00624432">
        <w:rPr>
          <w:sz w:val="20"/>
          <w:szCs w:val="20"/>
          <w:lang w:eastAsia="sl-SI"/>
        </w:rPr>
        <w:t>.</w:t>
      </w:r>
    </w:p>
    <w:tbl>
      <w:tblPr>
        <w:tblW w:w="0" w:type="auto"/>
        <w:tblCellMar>
          <w:top w:w="60" w:type="dxa"/>
          <w:left w:w="60" w:type="dxa"/>
          <w:bottom w:w="60" w:type="dxa"/>
          <w:right w:w="60" w:type="dxa"/>
        </w:tblCellMar>
        <w:tblLook w:val="04A0" w:firstRow="1" w:lastRow="0" w:firstColumn="1" w:lastColumn="0" w:noHBand="0" w:noVBand="1"/>
      </w:tblPr>
      <w:tblGrid>
        <w:gridCol w:w="1098"/>
        <w:gridCol w:w="170"/>
        <w:gridCol w:w="1220"/>
      </w:tblGrid>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b/>
                <w:sz w:val="20"/>
                <w:szCs w:val="20"/>
                <w:lang w:eastAsia="sl-SI"/>
              </w:rPr>
            </w:pPr>
            <w:r w:rsidRPr="003032CA">
              <w:rPr>
                <w:b/>
                <w:sz w:val="20"/>
                <w:szCs w:val="20"/>
                <w:lang w:eastAsia="sl-SI"/>
              </w:rPr>
              <w:t>affirmative</w:t>
            </w:r>
          </w:p>
        </w:tc>
        <w:tc>
          <w:tcPr>
            <w:tcW w:w="0" w:type="auto"/>
            <w:vMerge w:val="restart"/>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b/>
                <w:sz w:val="20"/>
                <w:szCs w:val="20"/>
                <w:lang w:eastAsia="sl-SI"/>
              </w:rPr>
            </w:pPr>
            <w:r w:rsidRPr="003032CA">
              <w:rPr>
                <w:b/>
                <w:sz w:val="20"/>
                <w:szCs w:val="20"/>
                <w:lang w:eastAsia="sl-SI"/>
              </w:rPr>
              <w:t> </w:t>
            </w: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b/>
                <w:sz w:val="20"/>
                <w:szCs w:val="20"/>
                <w:lang w:eastAsia="sl-SI"/>
              </w:rPr>
            </w:pPr>
            <w:r w:rsidRPr="003032CA">
              <w:rPr>
                <w:b/>
                <w:sz w:val="20"/>
                <w:szCs w:val="20"/>
                <w:lang w:eastAsia="sl-SI"/>
              </w:rPr>
              <w:t>negative</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rational</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irrational</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reconcilable</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irreconcilable</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regular</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irregular</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resistible</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irresistible</w:t>
            </w:r>
          </w:p>
        </w:tc>
      </w:tr>
    </w:tbl>
    <w:p w:rsidR="00624432" w:rsidRDefault="00624432" w:rsidP="00624432">
      <w:pPr>
        <w:rPr>
          <w:sz w:val="20"/>
          <w:szCs w:val="20"/>
          <w:lang w:eastAsia="sl-SI"/>
        </w:rPr>
      </w:pPr>
    </w:p>
    <w:p w:rsidR="00624432" w:rsidRPr="00624432" w:rsidRDefault="00624432" w:rsidP="00624432">
      <w:pPr>
        <w:rPr>
          <w:sz w:val="20"/>
          <w:szCs w:val="20"/>
          <w:lang w:eastAsia="sl-SI"/>
        </w:rPr>
      </w:pPr>
      <w:r w:rsidRPr="00624432">
        <w:rPr>
          <w:sz w:val="20"/>
          <w:szCs w:val="20"/>
          <w:lang w:eastAsia="sl-SI"/>
        </w:rPr>
        <w:t xml:space="preserve">Words that take </w:t>
      </w:r>
      <w:r w:rsidRPr="00624432">
        <w:rPr>
          <w:i/>
          <w:iCs/>
          <w:sz w:val="20"/>
          <w:szCs w:val="20"/>
          <w:lang w:eastAsia="sl-SI"/>
        </w:rPr>
        <w:t>non</w:t>
      </w:r>
      <w:r w:rsidRPr="00624432">
        <w:rPr>
          <w:sz w:val="20"/>
          <w:szCs w:val="20"/>
          <w:lang w:eastAsia="sl-SI"/>
        </w:rPr>
        <w:t>- as a negative prefix may begin with a vowel or a consonant.</w:t>
      </w:r>
    </w:p>
    <w:tbl>
      <w:tblPr>
        <w:tblW w:w="0" w:type="auto"/>
        <w:tblCellMar>
          <w:top w:w="60" w:type="dxa"/>
          <w:left w:w="60" w:type="dxa"/>
          <w:bottom w:w="60" w:type="dxa"/>
          <w:right w:w="60" w:type="dxa"/>
        </w:tblCellMar>
        <w:tblLook w:val="04A0" w:firstRow="1" w:lastRow="0" w:firstColumn="1" w:lastColumn="0" w:noHBand="0" w:noVBand="1"/>
      </w:tblPr>
      <w:tblGrid>
        <w:gridCol w:w="1076"/>
        <w:gridCol w:w="170"/>
        <w:gridCol w:w="1287"/>
      </w:tblGrid>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b/>
                <w:sz w:val="20"/>
                <w:szCs w:val="20"/>
                <w:lang w:eastAsia="sl-SI"/>
              </w:rPr>
            </w:pPr>
            <w:r w:rsidRPr="003032CA">
              <w:rPr>
                <w:b/>
                <w:sz w:val="20"/>
                <w:szCs w:val="20"/>
                <w:lang w:eastAsia="sl-SI"/>
              </w:rPr>
              <w:t>affirmative</w:t>
            </w:r>
          </w:p>
        </w:tc>
        <w:tc>
          <w:tcPr>
            <w:tcW w:w="0" w:type="auto"/>
            <w:vMerge w:val="restart"/>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b/>
                <w:sz w:val="20"/>
                <w:szCs w:val="20"/>
                <w:lang w:eastAsia="sl-SI"/>
              </w:rPr>
            </w:pPr>
            <w:r w:rsidRPr="003032CA">
              <w:rPr>
                <w:b/>
                <w:sz w:val="20"/>
                <w:szCs w:val="20"/>
                <w:lang w:eastAsia="sl-SI"/>
              </w:rPr>
              <w:t> </w:t>
            </w: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b/>
                <w:sz w:val="20"/>
                <w:szCs w:val="20"/>
                <w:lang w:eastAsia="sl-SI"/>
              </w:rPr>
            </w:pPr>
            <w:r w:rsidRPr="003032CA">
              <w:rPr>
                <w:b/>
                <w:sz w:val="20"/>
                <w:szCs w:val="20"/>
                <w:lang w:eastAsia="sl-SI"/>
              </w:rPr>
              <w:t>negative</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conformist</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nonconformist</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essential</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nonessential</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fiction</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nonfiction</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sense</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nonsense</w:t>
            </w:r>
          </w:p>
        </w:tc>
      </w:tr>
    </w:tbl>
    <w:p w:rsidR="00624432" w:rsidRDefault="00624432" w:rsidP="00624432">
      <w:pPr>
        <w:rPr>
          <w:sz w:val="20"/>
          <w:szCs w:val="20"/>
          <w:lang w:eastAsia="sl-SI"/>
        </w:rPr>
      </w:pPr>
    </w:p>
    <w:p w:rsidR="00624432" w:rsidRPr="00624432" w:rsidRDefault="00624432" w:rsidP="00624432">
      <w:pPr>
        <w:rPr>
          <w:sz w:val="20"/>
          <w:szCs w:val="20"/>
          <w:lang w:eastAsia="sl-SI"/>
        </w:rPr>
      </w:pPr>
      <w:r w:rsidRPr="00624432">
        <w:rPr>
          <w:sz w:val="20"/>
          <w:szCs w:val="20"/>
          <w:lang w:eastAsia="sl-SI"/>
        </w:rPr>
        <w:t xml:space="preserve">Words that take </w:t>
      </w:r>
      <w:r w:rsidRPr="00624432">
        <w:rPr>
          <w:i/>
          <w:iCs/>
          <w:sz w:val="20"/>
          <w:szCs w:val="20"/>
          <w:lang w:eastAsia="sl-SI"/>
        </w:rPr>
        <w:t>un</w:t>
      </w:r>
      <w:r w:rsidRPr="00624432">
        <w:rPr>
          <w:sz w:val="20"/>
          <w:szCs w:val="20"/>
          <w:lang w:eastAsia="sl-SI"/>
        </w:rPr>
        <w:t>- as a negative prefix may begin with a vowel or consonant.</w:t>
      </w:r>
    </w:p>
    <w:tbl>
      <w:tblPr>
        <w:tblW w:w="0" w:type="auto"/>
        <w:tblCellMar>
          <w:top w:w="60" w:type="dxa"/>
          <w:left w:w="60" w:type="dxa"/>
          <w:bottom w:w="60" w:type="dxa"/>
          <w:right w:w="60" w:type="dxa"/>
        </w:tblCellMar>
        <w:tblLook w:val="04A0" w:firstRow="1" w:lastRow="0" w:firstColumn="1" w:lastColumn="0" w:noHBand="0" w:noVBand="1"/>
      </w:tblPr>
      <w:tblGrid>
        <w:gridCol w:w="1087"/>
        <w:gridCol w:w="170"/>
        <w:gridCol w:w="1287"/>
      </w:tblGrid>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b/>
                <w:sz w:val="20"/>
                <w:szCs w:val="20"/>
                <w:lang w:eastAsia="sl-SI"/>
              </w:rPr>
            </w:pPr>
            <w:r w:rsidRPr="003032CA">
              <w:rPr>
                <w:b/>
                <w:sz w:val="20"/>
                <w:szCs w:val="20"/>
                <w:lang w:eastAsia="sl-SI"/>
              </w:rPr>
              <w:t>affirmative</w:t>
            </w:r>
          </w:p>
        </w:tc>
        <w:tc>
          <w:tcPr>
            <w:tcW w:w="0" w:type="auto"/>
            <w:vMerge w:val="restart"/>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b/>
                <w:sz w:val="20"/>
                <w:szCs w:val="20"/>
                <w:lang w:eastAsia="sl-SI"/>
              </w:rPr>
            </w:pPr>
            <w:r w:rsidRPr="003032CA">
              <w:rPr>
                <w:b/>
                <w:sz w:val="20"/>
                <w:szCs w:val="20"/>
                <w:lang w:eastAsia="sl-SI"/>
              </w:rPr>
              <w:t> </w:t>
            </w: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b/>
                <w:sz w:val="20"/>
                <w:szCs w:val="20"/>
                <w:lang w:eastAsia="sl-SI"/>
              </w:rPr>
            </w:pPr>
            <w:r w:rsidRPr="003032CA">
              <w:rPr>
                <w:b/>
                <w:sz w:val="20"/>
                <w:szCs w:val="20"/>
                <w:lang w:eastAsia="sl-SI"/>
              </w:rPr>
              <w:t>negative</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able</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unable</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interesting</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uninteresting</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usual</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unusual</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comfortable</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uncomfortable</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helpful</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unhelpful</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prepared</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unprepared</w:t>
            </w:r>
          </w:p>
        </w:tc>
      </w:tr>
    </w:tbl>
    <w:p w:rsidR="00624432" w:rsidRDefault="00624432" w:rsidP="00624432">
      <w:pPr>
        <w:rPr>
          <w:sz w:val="20"/>
          <w:szCs w:val="20"/>
          <w:lang w:eastAsia="sl-SI"/>
        </w:rPr>
      </w:pPr>
    </w:p>
    <w:p w:rsidR="00624432" w:rsidRPr="00624432" w:rsidRDefault="00624432" w:rsidP="00624432">
      <w:pPr>
        <w:rPr>
          <w:sz w:val="20"/>
          <w:szCs w:val="20"/>
          <w:lang w:eastAsia="sl-SI"/>
        </w:rPr>
      </w:pPr>
      <w:r w:rsidRPr="00624432">
        <w:rPr>
          <w:b/>
          <w:sz w:val="20"/>
          <w:szCs w:val="20"/>
          <w:lang w:eastAsia="sl-SI"/>
        </w:rPr>
        <w:t>Note:</w:t>
      </w:r>
      <w:r>
        <w:rPr>
          <w:sz w:val="20"/>
          <w:szCs w:val="20"/>
          <w:lang w:eastAsia="sl-SI"/>
        </w:rPr>
        <w:t xml:space="preserve"> </w:t>
      </w:r>
      <w:r w:rsidRPr="00624432">
        <w:rPr>
          <w:sz w:val="20"/>
          <w:szCs w:val="20"/>
          <w:lang w:eastAsia="sl-SI"/>
        </w:rPr>
        <w:t>Remember, not all words that appear to have a negative prefix are negative.</w:t>
      </w:r>
    </w:p>
    <w:tbl>
      <w:tblPr>
        <w:tblW w:w="0" w:type="auto"/>
        <w:tblCellMar>
          <w:top w:w="60" w:type="dxa"/>
          <w:left w:w="60" w:type="dxa"/>
          <w:bottom w:w="60" w:type="dxa"/>
          <w:right w:w="60" w:type="dxa"/>
        </w:tblCellMar>
        <w:tblLook w:val="04A0" w:firstRow="1" w:lastRow="0" w:firstColumn="1" w:lastColumn="0" w:noHBand="0" w:noVBand="1"/>
      </w:tblPr>
      <w:tblGrid>
        <w:gridCol w:w="931"/>
        <w:gridCol w:w="170"/>
        <w:gridCol w:w="1343"/>
      </w:tblGrid>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b/>
                <w:sz w:val="20"/>
                <w:szCs w:val="20"/>
                <w:lang w:eastAsia="sl-SI"/>
              </w:rPr>
            </w:pPr>
            <w:r w:rsidRPr="003032CA">
              <w:rPr>
                <w:b/>
                <w:sz w:val="20"/>
                <w:szCs w:val="20"/>
                <w:lang w:eastAsia="sl-SI"/>
              </w:rPr>
              <w:t>word</w:t>
            </w:r>
          </w:p>
        </w:tc>
        <w:tc>
          <w:tcPr>
            <w:tcW w:w="0" w:type="auto"/>
            <w:vMerge w:val="restart"/>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b/>
                <w:sz w:val="20"/>
                <w:szCs w:val="20"/>
                <w:lang w:eastAsia="sl-SI"/>
              </w:rPr>
            </w:pPr>
            <w:r w:rsidRPr="003032CA">
              <w:rPr>
                <w:b/>
                <w:sz w:val="20"/>
                <w:szCs w:val="20"/>
                <w:lang w:eastAsia="sl-SI"/>
              </w:rPr>
              <w:t> </w:t>
            </w: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b/>
                <w:sz w:val="20"/>
                <w:szCs w:val="20"/>
                <w:lang w:eastAsia="sl-SI"/>
              </w:rPr>
            </w:pPr>
            <w:r w:rsidRPr="003032CA">
              <w:rPr>
                <w:b/>
                <w:sz w:val="20"/>
                <w:szCs w:val="20"/>
                <w:lang w:eastAsia="sl-SI"/>
              </w:rPr>
              <w:t>does not mean</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alike</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trike/>
                <w:sz w:val="20"/>
                <w:szCs w:val="20"/>
                <w:lang w:eastAsia="sl-SI"/>
              </w:rPr>
              <w:t>not like</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discuss</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trike/>
                <w:sz w:val="20"/>
                <w:szCs w:val="20"/>
                <w:lang w:eastAsia="sl-SI"/>
              </w:rPr>
              <w:t>not cuss</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universe</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trike/>
                <w:sz w:val="20"/>
                <w:szCs w:val="20"/>
                <w:lang w:eastAsia="sl-SI"/>
              </w:rPr>
              <w:t>not iverse</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lastRenderedPageBreak/>
              <w:t>illuminate</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trike/>
                <w:sz w:val="20"/>
                <w:szCs w:val="20"/>
                <w:lang w:eastAsia="sl-SI"/>
              </w:rPr>
              <w:t>not luminate</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important</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trike/>
                <w:sz w:val="20"/>
                <w:szCs w:val="20"/>
                <w:lang w:eastAsia="sl-SI"/>
              </w:rPr>
              <w:t>not portant</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involve</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trike/>
                <w:sz w:val="20"/>
                <w:szCs w:val="20"/>
                <w:lang w:eastAsia="sl-SI"/>
              </w:rPr>
              <w:t>not volve</w:t>
            </w:r>
          </w:p>
        </w:tc>
      </w:tr>
      <w:tr w:rsidR="00624432" w:rsidRPr="003032CA" w:rsidTr="00624432">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z w:val="20"/>
                <w:szCs w:val="20"/>
                <w:lang w:eastAsia="sl-SI"/>
              </w:rPr>
              <w:t>irrigate</w:t>
            </w:r>
          </w:p>
        </w:tc>
        <w:tc>
          <w:tcPr>
            <w:tcW w:w="0" w:type="auto"/>
            <w:vMerge/>
            <w:tcBorders>
              <w:top w:val="nil"/>
              <w:left w:val="nil"/>
              <w:bottom w:val="nil"/>
              <w:right w:val="nil"/>
            </w:tcBorders>
            <w:shd w:val="clear" w:color="auto" w:fill="auto"/>
            <w:vAlign w:val="center"/>
            <w:hideMark/>
          </w:tcPr>
          <w:p w:rsidR="00624432" w:rsidRPr="003032CA" w:rsidRDefault="00624432" w:rsidP="00624432">
            <w:pPr>
              <w:rPr>
                <w:sz w:val="20"/>
                <w:szCs w:val="20"/>
                <w:lang w:eastAsia="sl-SI"/>
              </w:rPr>
            </w:pPr>
          </w:p>
        </w:tc>
        <w:tc>
          <w:tcPr>
            <w:tcW w:w="0" w:type="auto"/>
            <w:tcBorders>
              <w:top w:val="nil"/>
              <w:left w:val="nil"/>
              <w:bottom w:val="nil"/>
              <w:right w:val="nil"/>
            </w:tcBorders>
            <w:shd w:val="clear" w:color="auto" w:fill="auto"/>
            <w:tcMar>
              <w:top w:w="75" w:type="dxa"/>
              <w:left w:w="60" w:type="dxa"/>
              <w:bottom w:w="75" w:type="dxa"/>
              <w:right w:w="60" w:type="dxa"/>
            </w:tcMar>
            <w:vAlign w:val="center"/>
            <w:hideMark/>
          </w:tcPr>
          <w:p w:rsidR="00624432" w:rsidRPr="003032CA" w:rsidRDefault="00624432" w:rsidP="00624432">
            <w:pPr>
              <w:rPr>
                <w:sz w:val="20"/>
                <w:szCs w:val="20"/>
                <w:lang w:eastAsia="sl-SI"/>
              </w:rPr>
            </w:pPr>
            <w:r w:rsidRPr="003032CA">
              <w:rPr>
                <w:strike/>
                <w:sz w:val="20"/>
                <w:szCs w:val="20"/>
                <w:lang w:eastAsia="sl-SI"/>
              </w:rPr>
              <w:t>not rigate</w:t>
            </w:r>
          </w:p>
        </w:tc>
      </w:tr>
    </w:tbl>
    <w:p w:rsidR="00062633" w:rsidRPr="00624432" w:rsidRDefault="00062633">
      <w:pPr>
        <w:rPr>
          <w:sz w:val="20"/>
          <w:szCs w:val="20"/>
        </w:rPr>
      </w:pPr>
    </w:p>
    <w:sectPr w:rsidR="00062633" w:rsidRPr="00624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32"/>
    <w:rsid w:val="00062633"/>
    <w:rsid w:val="00070211"/>
    <w:rsid w:val="001A601A"/>
    <w:rsid w:val="003032CA"/>
    <w:rsid w:val="005C772C"/>
    <w:rsid w:val="00624432"/>
    <w:rsid w:val="00E835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5D1"/>
    <w:pPr>
      <w:spacing w:line="276" w:lineRule="auto"/>
      <w:jc w:val="both"/>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43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24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859346">
      <w:bodyDiv w:val="1"/>
      <w:marLeft w:val="0"/>
      <w:marRight w:val="0"/>
      <w:marTop w:val="0"/>
      <w:marBottom w:val="0"/>
      <w:divBdr>
        <w:top w:val="none" w:sz="0" w:space="0" w:color="auto"/>
        <w:left w:val="none" w:sz="0" w:space="0" w:color="auto"/>
        <w:bottom w:val="none" w:sz="0" w:space="0" w:color="auto"/>
        <w:right w:val="none" w:sz="0" w:space="0" w:color="auto"/>
      </w:divBdr>
      <w:divsChild>
        <w:div w:id="912349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earnenglishlanguage.com/blog/learn-english/pronunciation/vowels/" TargetMode="External"/><Relationship Id="rId4" Type="http://schemas.openxmlformats.org/officeDocument/2006/relationships/hyperlink" Target="http://www.elearnenglishlanguage.com/blog/learn-english/pronunciation/conson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Links>
    <vt:vector size="12" baseType="variant">
      <vt:variant>
        <vt:i4>4587605</vt:i4>
      </vt:variant>
      <vt:variant>
        <vt:i4>3</vt:i4>
      </vt:variant>
      <vt:variant>
        <vt:i4>0</vt:i4>
      </vt:variant>
      <vt:variant>
        <vt:i4>5</vt:i4>
      </vt:variant>
      <vt:variant>
        <vt:lpwstr>http://www.elearnenglishlanguage.com/blog/learn-english/pronunciation/vowels/</vt:lpwstr>
      </vt:variant>
      <vt:variant>
        <vt:lpwstr/>
      </vt:variant>
      <vt:variant>
        <vt:i4>5242959</vt:i4>
      </vt:variant>
      <vt:variant>
        <vt:i4>0</vt:i4>
      </vt:variant>
      <vt:variant>
        <vt:i4>0</vt:i4>
      </vt:variant>
      <vt:variant>
        <vt:i4>5</vt:i4>
      </vt:variant>
      <vt:variant>
        <vt:lpwstr>http://www.elearnenglishlanguage.com/blog/learn-english/pronunciation/consonants/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2019-05-23T10:48:00Z</dcterms:created>
  <dcterms:modified xsi:type="dcterms:W3CDTF">2019-05-23T10:48:00Z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