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D93" w:rsidRPr="005C0D93" w:rsidRDefault="005C0D93">
      <w:pPr>
        <w:rPr>
          <w:rFonts w:ascii="Century Gothic" w:hAnsi="Century Gothic"/>
          <w:b/>
          <w:bCs/>
          <w:color w:val="993366"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b/>
          <w:bCs/>
          <w:color w:val="993366"/>
          <w:sz w:val="36"/>
          <w:szCs w:val="36"/>
        </w:rPr>
        <w:t>ALKOHOLIZEM :</w:t>
      </w:r>
    </w:p>
    <w:p w:rsidR="005C0D93" w:rsidRDefault="005C0D93">
      <w:pPr>
        <w:rPr>
          <w:b/>
          <w:bCs/>
        </w:rPr>
      </w:pPr>
    </w:p>
    <w:p w:rsidR="005C0D93" w:rsidRDefault="005C0D93">
      <w:pPr>
        <w:rPr>
          <w:rFonts w:ascii="Century Gothic" w:hAnsi="Century Gothic"/>
        </w:rPr>
      </w:pPr>
      <w:r w:rsidRPr="005C0D93">
        <w:rPr>
          <w:rFonts w:ascii="Century Gothic" w:hAnsi="Century Gothic"/>
          <w:bCs/>
        </w:rPr>
        <w:t>Alkoholizem</w:t>
      </w:r>
      <w:r w:rsidRPr="005C0D93">
        <w:rPr>
          <w:rFonts w:ascii="Century Gothic" w:hAnsi="Century Gothic"/>
        </w:rPr>
        <w:t xml:space="preserve"> je pretirano in stalno oz. periodično zauživanje </w:t>
      </w:r>
      <w:hyperlink r:id="rId5" w:tooltip="Alkohol" w:history="1">
        <w:r w:rsidRPr="005C0D93">
          <w:rPr>
            <w:rStyle w:val="Hyperlink"/>
            <w:rFonts w:ascii="Century Gothic" w:hAnsi="Century Gothic"/>
            <w:color w:val="auto"/>
            <w:u w:val="none"/>
          </w:rPr>
          <w:t>alkoholnih</w:t>
        </w:r>
      </w:hyperlink>
      <w:r w:rsidRPr="005C0D93">
        <w:rPr>
          <w:rFonts w:ascii="Century Gothic" w:hAnsi="Century Gothic"/>
        </w:rPr>
        <w:t xml:space="preserve"> </w:t>
      </w:r>
      <w:hyperlink r:id="rId6" w:tooltip="Pijača (članek še ni napisan)" w:history="1">
        <w:r w:rsidRPr="005C0D93">
          <w:rPr>
            <w:rStyle w:val="Hyperlink"/>
            <w:rFonts w:ascii="Century Gothic" w:hAnsi="Century Gothic"/>
            <w:color w:val="auto"/>
            <w:u w:val="none"/>
          </w:rPr>
          <w:t>pijač</w:t>
        </w:r>
      </w:hyperlink>
      <w:r w:rsidRPr="005C0D93">
        <w:rPr>
          <w:rFonts w:ascii="Century Gothic" w:hAnsi="Century Gothic"/>
        </w:rPr>
        <w:t xml:space="preserve">, ki povzroča veliko </w:t>
      </w:r>
      <w:hyperlink r:id="rId7" w:tooltip="Bolezen" w:history="1">
        <w:r w:rsidRPr="005C0D93">
          <w:rPr>
            <w:rStyle w:val="Hyperlink"/>
            <w:rFonts w:ascii="Century Gothic" w:hAnsi="Century Gothic"/>
            <w:color w:val="auto"/>
            <w:u w:val="none"/>
          </w:rPr>
          <w:t>bolezni</w:t>
        </w:r>
      </w:hyperlink>
      <w:r w:rsidRPr="005C0D93">
        <w:rPr>
          <w:rFonts w:ascii="Century Gothic" w:hAnsi="Century Gothic"/>
        </w:rPr>
        <w:t xml:space="preserve"> (</w:t>
      </w:r>
      <w:hyperlink r:id="rId8" w:tooltip="Ciroza jeter" w:history="1">
        <w:r w:rsidRPr="005C0D93">
          <w:rPr>
            <w:rStyle w:val="Hyperlink"/>
            <w:rFonts w:ascii="Century Gothic" w:hAnsi="Century Gothic"/>
            <w:color w:val="auto"/>
            <w:u w:val="none"/>
          </w:rPr>
          <w:t>cirozo jeter</w:t>
        </w:r>
      </w:hyperlink>
      <w:r w:rsidRPr="005C0D93">
        <w:rPr>
          <w:rFonts w:ascii="Century Gothic" w:hAnsi="Century Gothic"/>
        </w:rPr>
        <w:t xml:space="preserve">, </w:t>
      </w:r>
      <w:hyperlink r:id="rId9" w:tooltip="Vnetje živcev (članek še ni napisan)" w:history="1">
        <w:r w:rsidRPr="005C0D93">
          <w:rPr>
            <w:rStyle w:val="Hyperlink"/>
            <w:rFonts w:ascii="Century Gothic" w:hAnsi="Century Gothic"/>
            <w:color w:val="auto"/>
            <w:u w:val="none"/>
          </w:rPr>
          <w:t>vnetje živcev</w:t>
        </w:r>
      </w:hyperlink>
      <w:r w:rsidRPr="005C0D93">
        <w:rPr>
          <w:rFonts w:ascii="Century Gothic" w:hAnsi="Century Gothic"/>
        </w:rPr>
        <w:t xml:space="preserve">, </w:t>
      </w:r>
      <w:hyperlink r:id="rId10" w:tooltip="Duševna razkrojenost (članek še ni napisan)" w:history="1">
        <w:r w:rsidRPr="005C0D93">
          <w:rPr>
            <w:rStyle w:val="Hyperlink"/>
            <w:rFonts w:ascii="Century Gothic" w:hAnsi="Century Gothic"/>
            <w:color w:val="auto"/>
            <w:u w:val="none"/>
          </w:rPr>
          <w:t>duševno razkrojenost</w:t>
        </w:r>
      </w:hyperlink>
      <w:r w:rsidRPr="005C0D93">
        <w:rPr>
          <w:rFonts w:ascii="Century Gothic" w:hAnsi="Century Gothic"/>
        </w:rPr>
        <w:t>) ipd.</w:t>
      </w:r>
    </w:p>
    <w:p w:rsidR="005C0D93" w:rsidRDefault="005C0D93">
      <w:pPr>
        <w:rPr>
          <w:rFonts w:ascii="Century Gothic" w:hAnsi="Century Gothic"/>
        </w:rPr>
      </w:pPr>
      <w:r w:rsidRPr="005C0D93">
        <w:rPr>
          <w:rFonts w:ascii="Century Gothic" w:hAnsi="Century Gothic"/>
        </w:rPr>
        <w:t xml:space="preserve">Alkoholizem lahko prizadane tudi </w:t>
      </w:r>
      <w:hyperlink r:id="rId11" w:tooltip="Otroci (članek še ni napisan)" w:history="1">
        <w:r w:rsidRPr="005C0D93">
          <w:rPr>
            <w:rStyle w:val="Hyperlink"/>
            <w:rFonts w:ascii="Century Gothic" w:hAnsi="Century Gothic"/>
            <w:color w:val="auto"/>
            <w:u w:val="none"/>
          </w:rPr>
          <w:t>otroka</w:t>
        </w:r>
      </w:hyperlink>
      <w:r w:rsidRPr="005C0D93">
        <w:rPr>
          <w:rFonts w:ascii="Century Gothic" w:hAnsi="Century Gothic"/>
        </w:rPr>
        <w:t xml:space="preserve">, če </w:t>
      </w:r>
      <w:hyperlink r:id="rId12" w:tooltip="Nosečnost" w:history="1">
        <w:r w:rsidRPr="005C0D93">
          <w:rPr>
            <w:rStyle w:val="Hyperlink"/>
            <w:rFonts w:ascii="Century Gothic" w:hAnsi="Century Gothic"/>
            <w:color w:val="auto"/>
            <w:u w:val="none"/>
          </w:rPr>
          <w:t>noseča</w:t>
        </w:r>
      </w:hyperlink>
      <w:r w:rsidRPr="005C0D93">
        <w:rPr>
          <w:rFonts w:ascii="Century Gothic" w:hAnsi="Century Gothic"/>
        </w:rPr>
        <w:t xml:space="preserve"> ženska uživa alkohol.</w:t>
      </w:r>
      <w:r w:rsidR="00A33EDC">
        <w:rPr>
          <w:rFonts w:ascii="Century Gothic" w:hAnsi="Century Gothic"/>
        </w:rPr>
        <w:t xml:space="preserve"> </w:t>
      </w:r>
      <w:r w:rsidR="00A33EDC" w:rsidRPr="00A33EDC">
        <w:rPr>
          <w:rFonts w:ascii="Century Gothic" w:hAnsi="Century Gothic"/>
          <w:color w:val="333333"/>
        </w:rPr>
        <w:t>Vsako pitje alkohola v nosečnosti lahko ogroža plod.. Alkoholne okvare plodu so nepopravljive.</w:t>
      </w:r>
    </w:p>
    <w:p w:rsidR="005C0D93" w:rsidRDefault="005C0D93">
      <w:pPr>
        <w:rPr>
          <w:rFonts w:ascii="Century Gothic" w:hAnsi="Century Gothic"/>
        </w:rPr>
      </w:pPr>
    </w:p>
    <w:p w:rsidR="005C0D93" w:rsidRPr="005C0D93" w:rsidRDefault="005C0D93" w:rsidP="005C0D93">
      <w:pPr>
        <w:pStyle w:val="NormalWeb"/>
        <w:shd w:val="clear" w:color="auto" w:fill="F8FCFF"/>
        <w:rPr>
          <w:rFonts w:ascii="Century Gothic" w:hAnsi="Century Gothic"/>
        </w:rPr>
      </w:pPr>
      <w:r w:rsidRPr="005C0D93">
        <w:rPr>
          <w:rFonts w:ascii="Century Gothic" w:hAnsi="Century Gothic"/>
        </w:rPr>
        <w:t>Med znake alkoholizma se uvrščajo:</w:t>
      </w:r>
    </w:p>
    <w:p w:rsidR="005C0D93" w:rsidRPr="005C0D93" w:rsidRDefault="005C0D93" w:rsidP="005C0D93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Century Gothic" w:hAnsi="Century Gothic"/>
        </w:rPr>
      </w:pPr>
      <w:r w:rsidRPr="005C0D93">
        <w:rPr>
          <w:rFonts w:ascii="Century Gothic" w:hAnsi="Century Gothic"/>
        </w:rPr>
        <w:t xml:space="preserve">velika oz. nepremagljiva želja po alkoholu </w:t>
      </w:r>
    </w:p>
    <w:p w:rsidR="005C0D93" w:rsidRPr="005C0D93" w:rsidRDefault="005C0D93" w:rsidP="005C0D93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Century Gothic" w:hAnsi="Century Gothic"/>
        </w:rPr>
      </w:pPr>
      <w:r w:rsidRPr="005C0D93">
        <w:rPr>
          <w:rFonts w:ascii="Century Gothic" w:hAnsi="Century Gothic"/>
        </w:rPr>
        <w:t>oslabljen nadzor nad količino zaužitega alkohola (</w:t>
      </w:r>
      <w:r>
        <w:rPr>
          <w:rFonts w:ascii="Century Gothic" w:hAnsi="Century Gothic"/>
        </w:rPr>
        <w:t xml:space="preserve">v tem primeru </w:t>
      </w:r>
      <w:r w:rsidRPr="005C0D93">
        <w:rPr>
          <w:rFonts w:ascii="Century Gothic" w:hAnsi="Century Gothic"/>
        </w:rPr>
        <w:t xml:space="preserve">oseba se ne zave količine zaužitega alkohola in tako težko preneha s pitjem) </w:t>
      </w:r>
    </w:p>
    <w:p w:rsidR="005C0D93" w:rsidRPr="005C0D93" w:rsidRDefault="005C0D93" w:rsidP="005C0D93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Century Gothic" w:hAnsi="Century Gothic"/>
        </w:rPr>
      </w:pPr>
      <w:r w:rsidRPr="005C0D93">
        <w:rPr>
          <w:rFonts w:ascii="Century Gothic" w:hAnsi="Century Gothic"/>
        </w:rPr>
        <w:t xml:space="preserve">povečana </w:t>
      </w:r>
      <w:hyperlink r:id="rId13" w:tooltip="Toleranca" w:history="1">
        <w:r w:rsidRPr="005C0D93">
          <w:rPr>
            <w:rStyle w:val="Hyperlink"/>
            <w:rFonts w:ascii="Century Gothic" w:hAnsi="Century Gothic"/>
            <w:color w:val="auto"/>
            <w:u w:val="none"/>
          </w:rPr>
          <w:t>toleranca</w:t>
        </w:r>
      </w:hyperlink>
      <w:r w:rsidRPr="005C0D93">
        <w:rPr>
          <w:rFonts w:ascii="Century Gothic" w:hAnsi="Century Gothic"/>
        </w:rPr>
        <w:t xml:space="preserve"> za alkohol (</w:t>
      </w:r>
      <w:r>
        <w:rPr>
          <w:rFonts w:ascii="Century Gothic" w:hAnsi="Century Gothic"/>
        </w:rPr>
        <w:t xml:space="preserve">v tem primeru </w:t>
      </w:r>
      <w:r w:rsidRPr="005C0D93">
        <w:rPr>
          <w:rFonts w:ascii="Century Gothic" w:hAnsi="Century Gothic"/>
        </w:rPr>
        <w:t xml:space="preserve">za enak učinek </w:t>
      </w:r>
      <w:hyperlink r:id="rId14" w:tooltip="Opojnost (članek še ni napisan)" w:history="1">
        <w:r w:rsidRPr="005C0D93">
          <w:rPr>
            <w:rStyle w:val="Hyperlink"/>
            <w:rFonts w:ascii="Century Gothic" w:hAnsi="Century Gothic"/>
            <w:color w:val="auto"/>
            <w:u w:val="none"/>
          </w:rPr>
          <w:t>opojnosti</w:t>
        </w:r>
      </w:hyperlink>
      <w:r w:rsidRPr="005C0D93">
        <w:rPr>
          <w:rFonts w:ascii="Century Gothic" w:hAnsi="Century Gothic"/>
        </w:rPr>
        <w:t xml:space="preserve"> je potrebna vedno večja količina alkohola), </w:t>
      </w:r>
    </w:p>
    <w:p w:rsidR="005C0D93" w:rsidRDefault="005C0D93" w:rsidP="005C0D93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Century Gothic" w:hAnsi="Century Gothic"/>
        </w:rPr>
      </w:pPr>
      <w:r w:rsidRPr="005C0D93">
        <w:rPr>
          <w:rFonts w:ascii="Century Gothic" w:hAnsi="Century Gothic"/>
        </w:rPr>
        <w:t xml:space="preserve">telesna odvisnost od alkohola (v primeru daljšega časovnega obdobja neuživanja alkohola se oseba znoji, pojavi se tresavica </w:t>
      </w:r>
      <w:hyperlink r:id="rId15" w:tooltip="Roka" w:history="1">
        <w:r w:rsidRPr="005C0D93">
          <w:rPr>
            <w:rStyle w:val="Hyperlink"/>
            <w:rFonts w:ascii="Century Gothic" w:hAnsi="Century Gothic"/>
            <w:color w:val="auto"/>
            <w:u w:val="none"/>
          </w:rPr>
          <w:t>rok</w:t>
        </w:r>
      </w:hyperlink>
      <w:r w:rsidRPr="005C0D93">
        <w:rPr>
          <w:rFonts w:ascii="Century Gothic" w:hAnsi="Century Gothic"/>
        </w:rPr>
        <w:t xml:space="preserve">, </w:t>
      </w:r>
      <w:hyperlink r:id="rId16" w:tooltip="Slabost (članek še ni napisan)" w:history="1">
        <w:r w:rsidRPr="005C0D93">
          <w:rPr>
            <w:rStyle w:val="Hyperlink"/>
            <w:rFonts w:ascii="Century Gothic" w:hAnsi="Century Gothic"/>
            <w:color w:val="auto"/>
            <w:u w:val="none"/>
          </w:rPr>
          <w:t>slabost</w:t>
        </w:r>
      </w:hyperlink>
      <w:r w:rsidRPr="005C0D93">
        <w:rPr>
          <w:rFonts w:ascii="Century Gothic" w:hAnsi="Century Gothic"/>
        </w:rPr>
        <w:t xml:space="preserve">, </w:t>
      </w:r>
      <w:hyperlink r:id="rId17" w:tooltip="Bruhanje" w:history="1">
        <w:r w:rsidRPr="005C0D93">
          <w:rPr>
            <w:rStyle w:val="Hyperlink"/>
            <w:rFonts w:ascii="Century Gothic" w:hAnsi="Century Gothic"/>
            <w:color w:val="auto"/>
            <w:u w:val="none"/>
          </w:rPr>
          <w:t>bruhanje</w:t>
        </w:r>
      </w:hyperlink>
      <w:r w:rsidRPr="005C0D93">
        <w:rPr>
          <w:rFonts w:ascii="Century Gothic" w:hAnsi="Century Gothic"/>
        </w:rPr>
        <w:t xml:space="preserve">, </w:t>
      </w:r>
      <w:hyperlink r:id="rId18" w:tooltip="Tesnoba (članek še ni napisan)" w:history="1">
        <w:r w:rsidRPr="005C0D93">
          <w:rPr>
            <w:rStyle w:val="Hyperlink"/>
            <w:rFonts w:ascii="Century Gothic" w:hAnsi="Century Gothic"/>
            <w:color w:val="auto"/>
            <w:u w:val="none"/>
          </w:rPr>
          <w:t>tesnoba</w:t>
        </w:r>
      </w:hyperlink>
      <w:r w:rsidRPr="005C0D93">
        <w:rPr>
          <w:rFonts w:ascii="Century Gothic" w:hAnsi="Century Gothic"/>
        </w:rPr>
        <w:t xml:space="preserve">, </w:t>
      </w:r>
      <w:hyperlink r:id="rId19" w:tooltip="Nasilnost (članek še ni napisan)" w:history="1">
        <w:r w:rsidRPr="005C0D93">
          <w:rPr>
            <w:rStyle w:val="Hyperlink"/>
            <w:rFonts w:ascii="Century Gothic" w:hAnsi="Century Gothic"/>
            <w:color w:val="auto"/>
            <w:u w:val="none"/>
          </w:rPr>
          <w:t>nasilnost</w:t>
        </w:r>
      </w:hyperlink>
      <w:r w:rsidRPr="005C0D93">
        <w:rPr>
          <w:rFonts w:ascii="Century Gothic" w:hAnsi="Century Gothic"/>
        </w:rPr>
        <w:t xml:space="preserve">, alkoholik tako rabi alkohol, da se povrne v normalno stanje oz. da se pomiri) </w:t>
      </w:r>
    </w:p>
    <w:p w:rsidR="005C0D93" w:rsidRDefault="005C0D93" w:rsidP="005C0D93">
      <w:pPr>
        <w:shd w:val="clear" w:color="auto" w:fill="F8FCFF"/>
        <w:spacing w:before="100" w:beforeAutospacing="1" w:after="100" w:afterAutospacing="1"/>
        <w:rPr>
          <w:rFonts w:ascii="Century Gothic" w:hAnsi="Century Gothic" w:cs="Arial"/>
          <w:color w:val="000000"/>
        </w:rPr>
      </w:pPr>
      <w:r w:rsidRPr="005C0D93">
        <w:rPr>
          <w:rFonts w:ascii="Century Gothic" w:hAnsi="Century Gothic" w:cs="Arial"/>
        </w:rPr>
        <w:t>Značilno za zgodovino zdravljenja odvisnosti od alkohola je bilo vedno malodušno ozračje, ki je vladalo med terapevti kot tudi splošno med ljudmi.</w:t>
      </w:r>
      <w:r>
        <w:rPr>
          <w:rFonts w:ascii="Century Gothic" w:hAnsi="Century Gothic" w:cs="Arial"/>
        </w:rPr>
        <w:t xml:space="preserve"> </w:t>
      </w:r>
      <w:r w:rsidRPr="005C0D93">
        <w:rPr>
          <w:rFonts w:ascii="Century Gothic" w:hAnsi="Century Gothic" w:cs="Arial"/>
          <w:color w:val="000000"/>
        </w:rPr>
        <w:t>Danes pa je znano, da je odvisnost od alkohola bolezensko vedenje, da se človek odvisnik večkrat trudi, da bi nehal piti, pa ne more.</w:t>
      </w:r>
      <w:r>
        <w:rPr>
          <w:rFonts w:ascii="Century Gothic" w:hAnsi="Century Gothic" w:cs="Arial"/>
          <w:color w:val="000000"/>
        </w:rPr>
        <w:t xml:space="preserve">  </w:t>
      </w:r>
      <w:r w:rsidRPr="005C0D93">
        <w:rPr>
          <w:rFonts w:ascii="Century Gothic" w:hAnsi="Century Gothic" w:cs="Arial"/>
          <w:color w:val="000000"/>
        </w:rPr>
        <w:t>Odvisen je in odvisnost je bolezen. Treba mu je pomagati in ga zdraviti.</w:t>
      </w:r>
      <w:r>
        <w:rPr>
          <w:rFonts w:ascii="Century Gothic" w:hAnsi="Century Gothic" w:cs="Arial"/>
          <w:color w:val="000000"/>
        </w:rPr>
        <w:t xml:space="preserve">  </w:t>
      </w:r>
      <w:r w:rsidRPr="005C0D93">
        <w:rPr>
          <w:rFonts w:ascii="Century Gothic" w:hAnsi="Century Gothic" w:cs="Arial"/>
          <w:color w:val="000000"/>
        </w:rPr>
        <w:t xml:space="preserve">Človek, ki je odvisen od alkohola, mora imeti željo, da bo nehal piti, torej mora biti motiviran, saj bo le tako zdravljenje zanj uspešno. </w:t>
      </w:r>
      <w:r>
        <w:rPr>
          <w:rFonts w:ascii="Century Gothic" w:hAnsi="Century Gothic" w:cs="Arial"/>
          <w:color w:val="000000"/>
        </w:rPr>
        <w:t xml:space="preserve"> </w:t>
      </w:r>
      <w:r w:rsidRPr="005C0D93">
        <w:rPr>
          <w:rFonts w:ascii="Century Gothic" w:hAnsi="Century Gothic" w:cs="Arial"/>
          <w:color w:val="000000"/>
        </w:rPr>
        <w:t>To zdravljenje se po navadi začne s prisilo in abstinenca ni dokaz, da je zdravljenje tudi uspešno.</w:t>
      </w:r>
      <w:r>
        <w:rPr>
          <w:rFonts w:ascii="Century Gothic" w:hAnsi="Century Gothic" w:cs="Arial"/>
          <w:color w:val="000000"/>
        </w:rPr>
        <w:t xml:space="preserve">     </w:t>
      </w:r>
      <w:r w:rsidRPr="005C0D93">
        <w:rPr>
          <w:rFonts w:ascii="Century Gothic" w:hAnsi="Century Gothic" w:cs="Arial"/>
          <w:color w:val="000000"/>
        </w:rPr>
        <w:t>Z zdravljenjem odvisnosti od alkohola se ukvarjajo organizacije za zdravljenje odvisnosti od alkohola.</w:t>
      </w:r>
    </w:p>
    <w:p w:rsidR="005C0D93" w:rsidRDefault="009923CD" w:rsidP="005C0D93">
      <w:pPr>
        <w:shd w:val="clear" w:color="auto" w:fill="F8FCFF"/>
        <w:spacing w:before="100" w:beforeAutospacing="1" w:after="100" w:afterAutospacing="1"/>
        <w:rPr>
          <w:rFonts w:ascii="Century Gothic" w:hAnsi="Century Gothic"/>
          <w:color w:val="333333"/>
        </w:rPr>
      </w:pPr>
      <w:r w:rsidRPr="009923CD">
        <w:rPr>
          <w:rFonts w:ascii="Century Gothic" w:hAnsi="Century Gothic"/>
          <w:color w:val="333333"/>
        </w:rPr>
        <w:t>Glavni učinek, ki ga povzroča alkohol pri človeku, je izredno povečan občutek moči in nadzora nad lastnim življenjem. In ker je ljudi, nezadovoljnih z načinom življenja, vedno več, je tudi alkoholizem vedno bolj prisoten med ljudmi.</w:t>
      </w:r>
    </w:p>
    <w:p w:rsidR="005C0D93" w:rsidRDefault="00A33EDC">
      <w:pPr>
        <w:rPr>
          <w:rFonts w:ascii="Century Gothic" w:hAnsi="Century Gothic"/>
          <w:color w:val="333333"/>
        </w:rPr>
      </w:pPr>
      <w:r w:rsidRPr="00A33EDC">
        <w:rPr>
          <w:rFonts w:ascii="Century Gothic" w:hAnsi="Century Gothic"/>
          <w:color w:val="333333"/>
        </w:rPr>
        <w:t xml:space="preserve">Slovenija se po registrirani porabi alkohola na osebo uvršča med evropske države, ki so v najbolj neugodnem položaju. Od leta 1980 poraba alkohola v Sloveniji niha med </w:t>
      </w:r>
      <w:smartTag w:uri="urn:schemas-microsoft-com:office:smarttags" w:element="metricconverter">
        <w:smartTagPr>
          <w:attr w:name="ProductID" w:val="9 in"/>
        </w:smartTagPr>
        <w:r w:rsidRPr="00A33EDC">
          <w:rPr>
            <w:rFonts w:ascii="Century Gothic" w:hAnsi="Century Gothic"/>
            <w:color w:val="333333"/>
          </w:rPr>
          <w:t>9 in</w:t>
        </w:r>
      </w:smartTag>
      <w:r w:rsidRPr="00A33EDC">
        <w:rPr>
          <w:rFonts w:ascii="Century Gothic" w:hAnsi="Century Gothic"/>
          <w:color w:val="333333"/>
        </w:rPr>
        <w:t xml:space="preserve"> </w:t>
      </w:r>
      <w:smartTag w:uri="urn:schemas-microsoft-com:office:smarttags" w:element="metricconverter">
        <w:smartTagPr>
          <w:attr w:name="ProductID" w:val="13 litrov"/>
        </w:smartTagPr>
        <w:r w:rsidRPr="00A33EDC">
          <w:rPr>
            <w:rFonts w:ascii="Century Gothic" w:hAnsi="Century Gothic"/>
            <w:color w:val="333333"/>
          </w:rPr>
          <w:t>13 litrov</w:t>
        </w:r>
      </w:smartTag>
      <w:r w:rsidRPr="00A33EDC">
        <w:rPr>
          <w:rFonts w:ascii="Century Gothic" w:hAnsi="Century Gothic"/>
          <w:color w:val="333333"/>
        </w:rPr>
        <w:t xml:space="preserve"> in v celotnem obdobju presega povprečno porabo alkohola v Evropi, v večini let pa tudi povprečno porabo v Evropski skupnosti. Statistični podatki za leto 1998 kažejo, da naj bi povprečni prebivalec Slovenije v tem letu popil oziroma drugače zaužil </w:t>
      </w:r>
      <w:smartTag w:uri="urn:schemas-microsoft-com:office:smarttags" w:element="metricconverter">
        <w:smartTagPr>
          <w:attr w:name="ProductID" w:val="10,4 litra"/>
        </w:smartTagPr>
        <w:r w:rsidRPr="00A33EDC">
          <w:rPr>
            <w:rFonts w:ascii="Century Gothic" w:hAnsi="Century Gothic"/>
            <w:color w:val="333333"/>
          </w:rPr>
          <w:t>10,4 litra</w:t>
        </w:r>
      </w:smartTag>
      <w:r w:rsidRPr="00A33EDC">
        <w:rPr>
          <w:rFonts w:ascii="Century Gothic" w:hAnsi="Century Gothic"/>
          <w:color w:val="333333"/>
        </w:rPr>
        <w:t xml:space="preserve"> čistega alkohola ali z drugimi besedami </w:t>
      </w:r>
      <w:smartTag w:uri="urn:schemas-microsoft-com:office:smarttags" w:element="metricconverter">
        <w:smartTagPr>
          <w:attr w:name="ProductID" w:val="104 litrov"/>
        </w:smartTagPr>
        <w:r w:rsidRPr="00A33EDC">
          <w:rPr>
            <w:rFonts w:ascii="Century Gothic" w:hAnsi="Century Gothic"/>
            <w:color w:val="333333"/>
          </w:rPr>
          <w:t>104 litrov</w:t>
        </w:r>
      </w:smartTag>
      <w:r w:rsidRPr="00A33EDC">
        <w:rPr>
          <w:rFonts w:ascii="Century Gothic" w:hAnsi="Century Gothic"/>
          <w:color w:val="333333"/>
        </w:rPr>
        <w:t xml:space="preserve"> piva, </w:t>
      </w:r>
      <w:smartTag w:uri="urn:schemas-microsoft-com:office:smarttags" w:element="metricconverter">
        <w:smartTagPr>
          <w:attr w:name="ProductID" w:val="43 litrov"/>
        </w:smartTagPr>
        <w:r w:rsidRPr="00A33EDC">
          <w:rPr>
            <w:rFonts w:ascii="Century Gothic" w:hAnsi="Century Gothic"/>
            <w:color w:val="333333"/>
          </w:rPr>
          <w:t>43 litrov</w:t>
        </w:r>
      </w:smartTag>
      <w:r w:rsidRPr="00A33EDC">
        <w:rPr>
          <w:rFonts w:ascii="Century Gothic" w:hAnsi="Century Gothic"/>
          <w:color w:val="333333"/>
        </w:rPr>
        <w:t xml:space="preserve"> vina in dober liter žganih pijač.</w:t>
      </w:r>
    </w:p>
    <w:p w:rsidR="00472ACE" w:rsidRDefault="00472ACE">
      <w:pPr>
        <w:rPr>
          <w:rFonts w:ascii="Century Gothic" w:hAnsi="Century Gothic"/>
          <w:color w:val="333333"/>
        </w:rPr>
      </w:pPr>
    </w:p>
    <w:p w:rsidR="00472ACE" w:rsidRDefault="00472ACE">
      <w:pPr>
        <w:rPr>
          <w:rFonts w:ascii="Century Gothic" w:hAnsi="Century Gothic"/>
          <w:color w:val="333333"/>
        </w:rPr>
      </w:pPr>
    </w:p>
    <w:tbl>
      <w:tblPr>
        <w:tblW w:w="5000" w:type="pct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60"/>
        <w:gridCol w:w="6402"/>
        <w:gridCol w:w="1590"/>
      </w:tblGrid>
      <w:tr w:rsidR="00472ACE" w:rsidRPr="00472ACE" w:rsidTr="00472ACE">
        <w:trPr>
          <w:tblCellSpacing w:w="15" w:type="dxa"/>
          <w:jc w:val="center"/>
        </w:trPr>
        <w:tc>
          <w:tcPr>
            <w:tcW w:w="1215" w:type="dxa"/>
            <w:shd w:val="clear" w:color="auto" w:fill="9FDFC2"/>
            <w:vAlign w:val="center"/>
          </w:tcPr>
          <w:p w:rsidR="00472ACE" w:rsidRPr="00472ACE" w:rsidRDefault="00472ACE" w:rsidP="00472AC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2ACE">
              <w:rPr>
                <w:rFonts w:ascii="Arial" w:hAnsi="Arial" w:cs="Arial"/>
                <w:b/>
                <w:bCs/>
                <w:sz w:val="15"/>
                <w:szCs w:val="15"/>
              </w:rPr>
              <w:lastRenderedPageBreak/>
              <w:t>Koncentracija alkohola v krvi g/kg (promili)</w:t>
            </w:r>
          </w:p>
        </w:tc>
        <w:tc>
          <w:tcPr>
            <w:tcW w:w="0" w:type="auto"/>
            <w:shd w:val="clear" w:color="auto" w:fill="9FDFC2"/>
            <w:vAlign w:val="center"/>
          </w:tcPr>
          <w:p w:rsidR="00472ACE" w:rsidRPr="00472ACE" w:rsidRDefault="00472ACE" w:rsidP="00472AC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2ACE">
              <w:rPr>
                <w:rFonts w:ascii="Arial" w:hAnsi="Arial" w:cs="Arial"/>
                <w:b/>
                <w:bCs/>
                <w:sz w:val="15"/>
                <w:szCs w:val="15"/>
              </w:rPr>
              <w:t>Učinki alkohola</w:t>
            </w:r>
          </w:p>
        </w:tc>
        <w:tc>
          <w:tcPr>
            <w:tcW w:w="1545" w:type="dxa"/>
            <w:shd w:val="clear" w:color="auto" w:fill="9FDFC2"/>
            <w:vAlign w:val="center"/>
          </w:tcPr>
          <w:p w:rsidR="00472ACE" w:rsidRPr="00472ACE" w:rsidRDefault="00472ACE" w:rsidP="00472ACE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2ACE">
              <w:rPr>
                <w:rFonts w:ascii="Arial" w:hAnsi="Arial" w:cs="Arial"/>
                <w:b/>
                <w:bCs/>
                <w:sz w:val="15"/>
                <w:szCs w:val="15"/>
              </w:rPr>
              <w:t>Količina popitega alkohola</w:t>
            </w:r>
            <w:r w:rsidRPr="00472ACE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 xml:space="preserve">(za ženske veljajo polovične vrednosti) </w:t>
            </w:r>
          </w:p>
        </w:tc>
      </w:tr>
      <w:tr w:rsidR="00472ACE" w:rsidRPr="00472ACE" w:rsidTr="00472ACE">
        <w:trPr>
          <w:tblCellSpacing w:w="15" w:type="dxa"/>
          <w:jc w:val="center"/>
        </w:trPr>
        <w:tc>
          <w:tcPr>
            <w:tcW w:w="1215" w:type="dxa"/>
            <w:shd w:val="clear" w:color="auto" w:fill="C2EBD9"/>
            <w:vAlign w:val="center"/>
          </w:tcPr>
          <w:p w:rsidR="00472ACE" w:rsidRPr="00472ACE" w:rsidRDefault="00472ACE" w:rsidP="00472AC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2ACE">
              <w:rPr>
                <w:rFonts w:ascii="Arial" w:hAnsi="Arial" w:cs="Arial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0" w:type="auto"/>
            <w:shd w:val="clear" w:color="auto" w:fill="C2EBD9"/>
            <w:vAlign w:val="center"/>
          </w:tcPr>
          <w:p w:rsidR="00472ACE" w:rsidRPr="00472ACE" w:rsidRDefault="00472ACE" w:rsidP="00472ACE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2ACE">
              <w:rPr>
                <w:rFonts w:ascii="Arial" w:hAnsi="Arial" w:cs="Arial"/>
                <w:b/>
                <w:bCs/>
                <w:sz w:val="15"/>
                <w:szCs w:val="15"/>
              </w:rPr>
              <w:t>Zakonska omejitev za vožnjo za mlade in poklicne voznike</w:t>
            </w:r>
          </w:p>
        </w:tc>
        <w:tc>
          <w:tcPr>
            <w:tcW w:w="1545" w:type="dxa"/>
            <w:shd w:val="clear" w:color="auto" w:fill="C2EBD9"/>
            <w:vAlign w:val="center"/>
          </w:tcPr>
          <w:p w:rsidR="00472ACE" w:rsidRPr="00472ACE" w:rsidRDefault="00472ACE" w:rsidP="00472ACE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2ACE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</w:tr>
      <w:tr w:rsidR="00472ACE" w:rsidRPr="00472ACE" w:rsidTr="00472ACE">
        <w:trPr>
          <w:tblCellSpacing w:w="15" w:type="dxa"/>
          <w:jc w:val="center"/>
        </w:trPr>
        <w:tc>
          <w:tcPr>
            <w:tcW w:w="1215" w:type="dxa"/>
            <w:shd w:val="clear" w:color="auto" w:fill="D7ECE1"/>
          </w:tcPr>
          <w:p w:rsidR="00472ACE" w:rsidRPr="00472ACE" w:rsidRDefault="00472ACE" w:rsidP="00472AC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2ACE">
              <w:rPr>
                <w:rFonts w:ascii="Arial" w:hAnsi="Arial" w:cs="Arial"/>
                <w:sz w:val="15"/>
                <w:szCs w:val="15"/>
              </w:rPr>
              <w:t>0,2 do 0,5</w:t>
            </w:r>
          </w:p>
        </w:tc>
        <w:tc>
          <w:tcPr>
            <w:tcW w:w="0" w:type="auto"/>
            <w:shd w:val="clear" w:color="auto" w:fill="CDE7D8"/>
          </w:tcPr>
          <w:p w:rsidR="00472ACE" w:rsidRPr="00472ACE" w:rsidRDefault="00472ACE" w:rsidP="00472AC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2ACE">
              <w:rPr>
                <w:rFonts w:ascii="Arial" w:hAnsi="Arial" w:cs="Arial"/>
                <w:b/>
                <w:bCs/>
                <w:sz w:val="15"/>
                <w:szCs w:val="15"/>
              </w:rPr>
              <w:t>Sprostitev:</w:t>
            </w:r>
            <w:r w:rsidRPr="00472ACE"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Pr="00472ACE">
              <w:rPr>
                <w:rFonts w:ascii="Arial" w:hAnsi="Arial" w:cs="Arial"/>
                <w:sz w:val="15"/>
                <w:szCs w:val="15"/>
              </w:rPr>
              <w:t>Rahlo zavrta možganska aktivnost, zato občutek sproščenosti. Zakonsko dovoljena količina alkohola za vožnjo.</w:t>
            </w:r>
          </w:p>
        </w:tc>
        <w:tc>
          <w:tcPr>
            <w:tcW w:w="1545" w:type="dxa"/>
            <w:shd w:val="clear" w:color="auto" w:fill="D7ECE1"/>
          </w:tcPr>
          <w:p w:rsidR="00472ACE" w:rsidRPr="00472ACE" w:rsidRDefault="00472ACE" w:rsidP="00472ACE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2ACE">
              <w:rPr>
                <w:rFonts w:ascii="Arial" w:hAnsi="Arial" w:cs="Arial"/>
                <w:sz w:val="15"/>
                <w:szCs w:val="15"/>
              </w:rPr>
              <w:t>1 do 2 merici/ uro ali 3 merice/ 2 uri ali 4 merice/ 3 ure</w:t>
            </w:r>
          </w:p>
        </w:tc>
      </w:tr>
      <w:tr w:rsidR="00472ACE" w:rsidRPr="00472ACE" w:rsidTr="00472ACE">
        <w:trPr>
          <w:tblCellSpacing w:w="15" w:type="dxa"/>
          <w:jc w:val="center"/>
        </w:trPr>
        <w:tc>
          <w:tcPr>
            <w:tcW w:w="1215" w:type="dxa"/>
            <w:shd w:val="clear" w:color="auto" w:fill="D7ECE1"/>
          </w:tcPr>
          <w:p w:rsidR="00472ACE" w:rsidRPr="00472ACE" w:rsidRDefault="00472ACE" w:rsidP="00472AC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2ACE">
              <w:rPr>
                <w:rFonts w:ascii="Arial" w:hAnsi="Arial" w:cs="Arial"/>
                <w:sz w:val="15"/>
                <w:szCs w:val="15"/>
              </w:rPr>
              <w:t>0,5 do 0,8</w:t>
            </w:r>
          </w:p>
        </w:tc>
        <w:tc>
          <w:tcPr>
            <w:tcW w:w="0" w:type="auto"/>
            <w:shd w:val="clear" w:color="auto" w:fill="CDE7D8"/>
          </w:tcPr>
          <w:p w:rsidR="00472ACE" w:rsidRPr="00472ACE" w:rsidRDefault="00472ACE" w:rsidP="00472AC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2AC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Zmanjšana </w:t>
            </w:r>
            <w:r w:rsidRPr="00472ACE"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Pr="00472ACE">
              <w:rPr>
                <w:rFonts w:ascii="Arial" w:hAnsi="Arial" w:cs="Arial"/>
                <w:sz w:val="15"/>
                <w:szCs w:val="15"/>
              </w:rPr>
              <w:t xml:space="preserve">Izguba zavor, ki se jo pogosto zamenjuje s stimulacijo. Poveča se pripravljenost za tveganje, lahko tudi agresivnost in zanesljivo ni več mogoče varno voziti. </w:t>
            </w:r>
          </w:p>
        </w:tc>
        <w:tc>
          <w:tcPr>
            <w:tcW w:w="1545" w:type="dxa"/>
            <w:shd w:val="clear" w:color="auto" w:fill="D7ECE1"/>
          </w:tcPr>
          <w:p w:rsidR="00472ACE" w:rsidRPr="00472ACE" w:rsidRDefault="00472ACE" w:rsidP="00472ACE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2ACE">
              <w:rPr>
                <w:rFonts w:ascii="Arial" w:hAnsi="Arial" w:cs="Arial"/>
                <w:sz w:val="15"/>
                <w:szCs w:val="15"/>
              </w:rPr>
              <w:t>3 do 4 merice/ uro ali 5 meric/ 2 uri ali 6 meric/ 3 ure</w:t>
            </w:r>
          </w:p>
        </w:tc>
      </w:tr>
      <w:tr w:rsidR="00472ACE" w:rsidRPr="00472ACE" w:rsidTr="00472ACE">
        <w:trPr>
          <w:tblCellSpacing w:w="15" w:type="dxa"/>
          <w:jc w:val="center"/>
        </w:trPr>
        <w:tc>
          <w:tcPr>
            <w:tcW w:w="1215" w:type="dxa"/>
            <w:shd w:val="clear" w:color="auto" w:fill="D7ECE1"/>
          </w:tcPr>
          <w:p w:rsidR="00472ACE" w:rsidRPr="00472ACE" w:rsidRDefault="00472ACE" w:rsidP="00472AC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2ACE">
              <w:rPr>
                <w:rFonts w:ascii="Arial" w:hAnsi="Arial" w:cs="Arial"/>
                <w:sz w:val="15"/>
                <w:szCs w:val="15"/>
              </w:rPr>
              <w:t>0,9 do 1,5</w:t>
            </w:r>
          </w:p>
        </w:tc>
        <w:tc>
          <w:tcPr>
            <w:tcW w:w="0" w:type="auto"/>
            <w:shd w:val="clear" w:color="auto" w:fill="CDE7D8"/>
          </w:tcPr>
          <w:p w:rsidR="00472ACE" w:rsidRPr="00472ACE" w:rsidRDefault="00472ACE" w:rsidP="00472AC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2ACE">
              <w:rPr>
                <w:rFonts w:ascii="Arial" w:hAnsi="Arial" w:cs="Arial"/>
                <w:b/>
                <w:bCs/>
                <w:sz w:val="15"/>
                <w:szCs w:val="15"/>
              </w:rPr>
              <w:t>Nekoordiniranost:</w:t>
            </w:r>
            <w:r w:rsidRPr="00472ACE"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Pr="00472ACE">
              <w:rPr>
                <w:rFonts w:ascii="Arial" w:hAnsi="Arial" w:cs="Arial"/>
                <w:sz w:val="15"/>
                <w:szCs w:val="15"/>
              </w:rPr>
              <w:t>Zastrupitev, sposobnost koncentracije in koordinacije bistveno zmanjšana, posebej za vožnjo in delo s stroji.</w:t>
            </w:r>
          </w:p>
        </w:tc>
        <w:tc>
          <w:tcPr>
            <w:tcW w:w="1545" w:type="dxa"/>
            <w:shd w:val="clear" w:color="auto" w:fill="D7ECE1"/>
          </w:tcPr>
          <w:p w:rsidR="00472ACE" w:rsidRPr="00472ACE" w:rsidRDefault="00472ACE" w:rsidP="00472ACE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2ACE">
              <w:rPr>
                <w:rFonts w:ascii="Arial" w:hAnsi="Arial" w:cs="Arial"/>
                <w:sz w:val="15"/>
                <w:szCs w:val="15"/>
              </w:rPr>
              <w:t>5 do 6 meric/ uro ali 7 meric/ 2 uri ali 8 meric/ 3 ure</w:t>
            </w:r>
          </w:p>
        </w:tc>
      </w:tr>
      <w:tr w:rsidR="00472ACE" w:rsidRPr="00472ACE" w:rsidTr="00472ACE">
        <w:trPr>
          <w:tblCellSpacing w:w="15" w:type="dxa"/>
          <w:jc w:val="center"/>
        </w:trPr>
        <w:tc>
          <w:tcPr>
            <w:tcW w:w="1215" w:type="dxa"/>
            <w:shd w:val="clear" w:color="auto" w:fill="D7ECE1"/>
          </w:tcPr>
          <w:p w:rsidR="00472ACE" w:rsidRPr="00472ACE" w:rsidRDefault="00472ACE" w:rsidP="00472AC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2ACE">
              <w:rPr>
                <w:rFonts w:ascii="Arial" w:hAnsi="Arial" w:cs="Arial"/>
                <w:sz w:val="15"/>
                <w:szCs w:val="15"/>
              </w:rPr>
              <w:t>1,5 do 2,0</w:t>
            </w:r>
          </w:p>
        </w:tc>
        <w:tc>
          <w:tcPr>
            <w:tcW w:w="0" w:type="auto"/>
            <w:shd w:val="clear" w:color="auto" w:fill="CDE7D8"/>
          </w:tcPr>
          <w:p w:rsidR="00472ACE" w:rsidRPr="00472ACE" w:rsidRDefault="00472ACE" w:rsidP="00472AC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2ACE">
              <w:rPr>
                <w:rFonts w:ascii="Arial" w:hAnsi="Arial" w:cs="Arial"/>
                <w:b/>
                <w:bCs/>
                <w:sz w:val="15"/>
                <w:szCs w:val="15"/>
              </w:rPr>
              <w:t>Sedacija:</w:t>
            </w:r>
            <w:r w:rsidRPr="00472ACE"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Pr="00472ACE">
              <w:rPr>
                <w:rFonts w:ascii="Arial" w:hAnsi="Arial" w:cs="Arial"/>
                <w:sz w:val="15"/>
                <w:szCs w:val="15"/>
              </w:rPr>
              <w:t xml:space="preserve">Ekstremna upočasnjenost in pijanost, že se pojavljajo motnje zavesti. </w:t>
            </w:r>
          </w:p>
        </w:tc>
        <w:tc>
          <w:tcPr>
            <w:tcW w:w="1545" w:type="dxa"/>
            <w:shd w:val="clear" w:color="auto" w:fill="D7ECE1"/>
          </w:tcPr>
          <w:p w:rsidR="00472ACE" w:rsidRPr="00472ACE" w:rsidRDefault="00472ACE" w:rsidP="00472ACE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2ACE">
              <w:rPr>
                <w:rFonts w:ascii="Arial" w:hAnsi="Arial" w:cs="Arial"/>
                <w:sz w:val="15"/>
                <w:szCs w:val="15"/>
              </w:rPr>
              <w:t>7 do 8 meric/ uro ali 9 meric/ 2 uri ali 10 meric/ 3 ure</w:t>
            </w:r>
          </w:p>
        </w:tc>
      </w:tr>
      <w:tr w:rsidR="00472ACE" w:rsidRPr="00472ACE" w:rsidTr="00472ACE">
        <w:trPr>
          <w:tblCellSpacing w:w="15" w:type="dxa"/>
          <w:jc w:val="center"/>
        </w:trPr>
        <w:tc>
          <w:tcPr>
            <w:tcW w:w="1215" w:type="dxa"/>
            <w:shd w:val="clear" w:color="auto" w:fill="D7ECE1"/>
          </w:tcPr>
          <w:p w:rsidR="00472ACE" w:rsidRPr="00472ACE" w:rsidRDefault="00472ACE" w:rsidP="00472AC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2ACE">
              <w:rPr>
                <w:rFonts w:ascii="Arial" w:hAnsi="Arial" w:cs="Arial"/>
                <w:sz w:val="15"/>
                <w:szCs w:val="15"/>
              </w:rPr>
              <w:t>2,0 do 2,5</w:t>
            </w:r>
          </w:p>
        </w:tc>
        <w:tc>
          <w:tcPr>
            <w:tcW w:w="0" w:type="auto"/>
            <w:shd w:val="clear" w:color="auto" w:fill="CDE7D8"/>
          </w:tcPr>
          <w:p w:rsidR="00472ACE" w:rsidRPr="00472ACE" w:rsidRDefault="00472ACE" w:rsidP="00472AC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2ACE">
              <w:rPr>
                <w:rFonts w:ascii="Arial" w:hAnsi="Arial" w:cs="Arial"/>
                <w:b/>
                <w:bCs/>
                <w:sz w:val="15"/>
                <w:szCs w:val="15"/>
              </w:rPr>
              <w:t>Zaspanost:</w:t>
            </w:r>
            <w:r w:rsidRPr="00472ACE"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Pr="00472ACE">
              <w:rPr>
                <w:rFonts w:ascii="Arial" w:hAnsi="Arial" w:cs="Arial"/>
                <w:sz w:val="15"/>
                <w:szCs w:val="15"/>
              </w:rPr>
              <w:t xml:space="preserve">Alkohol bistveno zmanjšuje budnost, ponavadi ljudje zaspijo, že popiti alkohol se še absorbira, možnost zadušitve. </w:t>
            </w:r>
          </w:p>
        </w:tc>
        <w:tc>
          <w:tcPr>
            <w:tcW w:w="1545" w:type="dxa"/>
            <w:shd w:val="clear" w:color="auto" w:fill="D7ECE1"/>
          </w:tcPr>
          <w:p w:rsidR="00472ACE" w:rsidRPr="00472ACE" w:rsidRDefault="00472ACE" w:rsidP="00472ACE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2ACE">
              <w:rPr>
                <w:rFonts w:ascii="Arial" w:hAnsi="Arial" w:cs="Arial"/>
                <w:sz w:val="15"/>
                <w:szCs w:val="15"/>
              </w:rPr>
              <w:t>8 do 9 meric/ uro ali 10 meric/ 2 uri ali 11 meric/ 3 ure</w:t>
            </w:r>
          </w:p>
        </w:tc>
      </w:tr>
      <w:tr w:rsidR="00472ACE" w:rsidRPr="00472ACE" w:rsidTr="00472ACE">
        <w:trPr>
          <w:tblCellSpacing w:w="15" w:type="dxa"/>
          <w:jc w:val="center"/>
        </w:trPr>
        <w:tc>
          <w:tcPr>
            <w:tcW w:w="1215" w:type="dxa"/>
            <w:shd w:val="clear" w:color="auto" w:fill="D7ECE1"/>
          </w:tcPr>
          <w:p w:rsidR="00472ACE" w:rsidRPr="00472ACE" w:rsidRDefault="00472ACE" w:rsidP="00472AC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2ACE">
              <w:rPr>
                <w:rFonts w:ascii="Arial" w:hAnsi="Arial" w:cs="Arial"/>
                <w:sz w:val="15"/>
                <w:szCs w:val="15"/>
              </w:rPr>
              <w:t>2,5 do 3,0</w:t>
            </w:r>
          </w:p>
        </w:tc>
        <w:tc>
          <w:tcPr>
            <w:tcW w:w="0" w:type="auto"/>
            <w:shd w:val="clear" w:color="auto" w:fill="CDE7D8"/>
          </w:tcPr>
          <w:p w:rsidR="00472ACE" w:rsidRPr="00472ACE" w:rsidRDefault="00472ACE" w:rsidP="00472AC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2ACE">
              <w:rPr>
                <w:rFonts w:ascii="Arial" w:hAnsi="Arial" w:cs="Arial"/>
                <w:b/>
                <w:bCs/>
                <w:sz w:val="15"/>
                <w:szCs w:val="15"/>
              </w:rPr>
              <w:t>Anestezija:</w:t>
            </w:r>
            <w:r w:rsidRPr="00472ACE"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Pr="00472ACE">
              <w:rPr>
                <w:rFonts w:ascii="Arial" w:hAnsi="Arial" w:cs="Arial"/>
                <w:sz w:val="15"/>
                <w:szCs w:val="15"/>
              </w:rPr>
              <w:t xml:space="preserve">Ne le spanje, temveč nesposobnost zaznavanja bolečine in drugih močnih dražljajev in le še drobna črta vas loči do smrti. </w:t>
            </w:r>
          </w:p>
        </w:tc>
        <w:tc>
          <w:tcPr>
            <w:tcW w:w="1545" w:type="dxa"/>
            <w:shd w:val="clear" w:color="auto" w:fill="D7ECE1"/>
          </w:tcPr>
          <w:p w:rsidR="00472ACE" w:rsidRPr="00472ACE" w:rsidRDefault="00472ACE" w:rsidP="00472ACE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2ACE">
              <w:rPr>
                <w:rFonts w:ascii="Arial" w:hAnsi="Arial" w:cs="Arial"/>
                <w:sz w:val="15"/>
                <w:szCs w:val="15"/>
              </w:rPr>
              <w:t>9 do 10 meric/ uro ali 11 meric/ 2 uri ali 12 meric/ 3 ure</w:t>
            </w:r>
          </w:p>
        </w:tc>
      </w:tr>
      <w:tr w:rsidR="00472ACE" w:rsidRPr="00472ACE" w:rsidTr="00472ACE">
        <w:trPr>
          <w:tblCellSpacing w:w="15" w:type="dxa"/>
          <w:jc w:val="center"/>
        </w:trPr>
        <w:tc>
          <w:tcPr>
            <w:tcW w:w="1215" w:type="dxa"/>
            <w:shd w:val="clear" w:color="auto" w:fill="D7ECE1"/>
          </w:tcPr>
          <w:p w:rsidR="00472ACE" w:rsidRPr="00472ACE" w:rsidRDefault="00472ACE" w:rsidP="00472AC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2ACE">
              <w:rPr>
                <w:rFonts w:ascii="Arial" w:hAnsi="Arial" w:cs="Arial"/>
                <w:sz w:val="15"/>
                <w:szCs w:val="15"/>
              </w:rPr>
              <w:t>3,0 do 4,0</w:t>
            </w:r>
          </w:p>
        </w:tc>
        <w:tc>
          <w:tcPr>
            <w:tcW w:w="0" w:type="auto"/>
            <w:shd w:val="clear" w:color="auto" w:fill="CDE7D8"/>
          </w:tcPr>
          <w:p w:rsidR="00472ACE" w:rsidRPr="00472ACE" w:rsidRDefault="00472ACE" w:rsidP="00472ACE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2ACE">
              <w:rPr>
                <w:rFonts w:ascii="Arial" w:hAnsi="Arial" w:cs="Arial"/>
                <w:b/>
                <w:bCs/>
                <w:sz w:val="15"/>
                <w:szCs w:val="15"/>
              </w:rPr>
              <w:t>Koma</w:t>
            </w:r>
          </w:p>
        </w:tc>
        <w:tc>
          <w:tcPr>
            <w:tcW w:w="1545" w:type="dxa"/>
            <w:shd w:val="clear" w:color="auto" w:fill="D7ECE1"/>
          </w:tcPr>
          <w:p w:rsidR="00472ACE" w:rsidRPr="00472ACE" w:rsidRDefault="00472ACE" w:rsidP="00472ACE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2ACE">
              <w:rPr>
                <w:rFonts w:ascii="Arial" w:hAnsi="Arial" w:cs="Arial"/>
                <w:sz w:val="15"/>
                <w:szCs w:val="15"/>
              </w:rPr>
              <w:t>10 do 12 meric/ uro ali 13 meric/ 2 uri ali 14 meric/ 3 ure</w:t>
            </w:r>
          </w:p>
        </w:tc>
      </w:tr>
      <w:tr w:rsidR="00472ACE" w:rsidRPr="00472ACE" w:rsidTr="00472ACE">
        <w:trPr>
          <w:tblCellSpacing w:w="15" w:type="dxa"/>
          <w:jc w:val="center"/>
        </w:trPr>
        <w:tc>
          <w:tcPr>
            <w:tcW w:w="1215" w:type="dxa"/>
            <w:shd w:val="clear" w:color="auto" w:fill="D7ECE1"/>
          </w:tcPr>
          <w:p w:rsidR="00472ACE" w:rsidRPr="00472ACE" w:rsidRDefault="00472ACE" w:rsidP="00472AC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2ACE">
              <w:rPr>
                <w:rFonts w:ascii="Arial" w:hAnsi="Arial" w:cs="Arial"/>
                <w:sz w:val="15"/>
                <w:szCs w:val="15"/>
              </w:rPr>
              <w:t>4,0 do 5,0</w:t>
            </w:r>
          </w:p>
        </w:tc>
        <w:tc>
          <w:tcPr>
            <w:tcW w:w="0" w:type="auto"/>
            <w:shd w:val="clear" w:color="auto" w:fill="CDE7D8"/>
          </w:tcPr>
          <w:p w:rsidR="00472ACE" w:rsidRPr="00472ACE" w:rsidRDefault="00472ACE" w:rsidP="00472ACE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2AC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Smrt </w:t>
            </w:r>
          </w:p>
        </w:tc>
        <w:tc>
          <w:tcPr>
            <w:tcW w:w="1545" w:type="dxa"/>
            <w:shd w:val="clear" w:color="auto" w:fill="D7ECE1"/>
          </w:tcPr>
          <w:p w:rsidR="00472ACE" w:rsidRPr="00472ACE" w:rsidRDefault="00472ACE" w:rsidP="00472ACE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2ACE">
              <w:rPr>
                <w:rFonts w:ascii="Arial" w:hAnsi="Arial" w:cs="Arial"/>
                <w:sz w:val="15"/>
                <w:szCs w:val="15"/>
              </w:rPr>
              <w:t>12 do 15 meric/ uro ali 6 meric/ 2 uri ali 17 meric/ 3 ure</w:t>
            </w:r>
          </w:p>
        </w:tc>
      </w:tr>
    </w:tbl>
    <w:p w:rsidR="00472ACE" w:rsidRDefault="00472ACE">
      <w:pPr>
        <w:rPr>
          <w:rFonts w:ascii="Century Gothic" w:hAnsi="Century Gothic"/>
        </w:rPr>
      </w:pPr>
    </w:p>
    <w:p w:rsidR="00472ACE" w:rsidRDefault="00472ACE">
      <w:pPr>
        <w:rPr>
          <w:rFonts w:ascii="Century Gothic" w:hAnsi="Century Gothic"/>
        </w:rPr>
      </w:pPr>
    </w:p>
    <w:p w:rsidR="00472ACE" w:rsidRPr="00472ACE" w:rsidRDefault="00472ACE" w:rsidP="00472ACE">
      <w:pPr>
        <w:spacing w:before="100" w:beforeAutospacing="1" w:after="100" w:afterAutospacing="1"/>
        <w:rPr>
          <w:rFonts w:ascii="Century Gothic" w:hAnsi="Century Gothic" w:cs="Arial"/>
          <w:color w:val="000000"/>
          <w:sz w:val="28"/>
          <w:szCs w:val="28"/>
        </w:rPr>
      </w:pPr>
      <w:r w:rsidRPr="00472ACE"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PITJE ALKOHOLA </w:t>
      </w:r>
      <w:r w:rsidRPr="00472ACE">
        <w:rPr>
          <w:rFonts w:ascii="Century Gothic" w:hAnsi="Century Gothic" w:cs="Arial"/>
          <w:b/>
          <w:bCs/>
          <w:color w:val="000000"/>
          <w:sz w:val="28"/>
          <w:szCs w:val="28"/>
          <w:u w:val="single"/>
        </w:rPr>
        <w:t xml:space="preserve">NI </w:t>
      </w:r>
      <w:r w:rsidRPr="00472ACE">
        <w:rPr>
          <w:rFonts w:ascii="Century Gothic" w:hAnsi="Century Gothic" w:cs="Arial"/>
          <w:b/>
          <w:bCs/>
          <w:color w:val="000000"/>
          <w:sz w:val="28"/>
          <w:szCs w:val="28"/>
        </w:rPr>
        <w:t>BOLEZEN,ODVISNOST OD ALKOHOLA PA</w:t>
      </w:r>
      <w:r>
        <w:rPr>
          <w:rFonts w:ascii="Century Gothic" w:hAnsi="Century Gothic" w:cs="Arial"/>
          <w:color w:val="000000"/>
          <w:sz w:val="28"/>
          <w:szCs w:val="28"/>
        </w:rPr>
        <w:t xml:space="preserve"> </w:t>
      </w:r>
      <w:r w:rsidRPr="00472ACE">
        <w:rPr>
          <w:rFonts w:ascii="Century Gothic" w:hAnsi="Century Gothic" w:cs="Arial"/>
          <w:b/>
          <w:bCs/>
          <w:color w:val="000000"/>
          <w:sz w:val="28"/>
          <w:szCs w:val="28"/>
        </w:rPr>
        <w:t>JE!</w:t>
      </w:r>
    </w:p>
    <w:p w:rsidR="00472ACE" w:rsidRPr="00A33EDC" w:rsidRDefault="00472ACE">
      <w:pPr>
        <w:rPr>
          <w:rFonts w:ascii="Century Gothic" w:hAnsi="Century Gothic"/>
        </w:rPr>
      </w:pPr>
    </w:p>
    <w:sectPr w:rsidR="00472ACE" w:rsidRPr="00A33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60967"/>
    <w:multiLevelType w:val="multilevel"/>
    <w:tmpl w:val="C730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0D93"/>
    <w:rsid w:val="00294B13"/>
    <w:rsid w:val="00472ACE"/>
    <w:rsid w:val="005C0D93"/>
    <w:rsid w:val="005D2021"/>
    <w:rsid w:val="009923CD"/>
    <w:rsid w:val="00A3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0D93"/>
    <w:rPr>
      <w:color w:val="0000FF"/>
      <w:u w:val="single"/>
    </w:rPr>
  </w:style>
  <w:style w:type="paragraph" w:styleId="NormalWeb">
    <w:name w:val="Normal (Web)"/>
    <w:basedOn w:val="Normal"/>
    <w:rsid w:val="005C0D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9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6776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Ciroza_jeter" TargetMode="External"/><Relationship Id="rId13" Type="http://schemas.openxmlformats.org/officeDocument/2006/relationships/hyperlink" Target="http://sl.wikipedia.org/wiki/Toleranca" TargetMode="External"/><Relationship Id="rId18" Type="http://schemas.openxmlformats.org/officeDocument/2006/relationships/hyperlink" Target="http://sl.wikipedia.org/w/index.php?title=Tesnoba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l.wikipedia.org/wiki/Bolezen" TargetMode="External"/><Relationship Id="rId12" Type="http://schemas.openxmlformats.org/officeDocument/2006/relationships/hyperlink" Target="http://sl.wikipedia.org/wiki/Nose%C4%8Dnost" TargetMode="External"/><Relationship Id="rId17" Type="http://schemas.openxmlformats.org/officeDocument/2006/relationships/hyperlink" Target="http://sl.wikipedia.org/wiki/Bruhanje" TargetMode="External"/><Relationship Id="rId2" Type="http://schemas.openxmlformats.org/officeDocument/2006/relationships/styles" Target="styles.xml"/><Relationship Id="rId16" Type="http://schemas.openxmlformats.org/officeDocument/2006/relationships/hyperlink" Target="http://sl.wikipedia.org/w/index.php?title=Slabost&amp;action=edit&amp;redlink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l.wikipedia.org/w/index.php?title=Pija%C4%8Da&amp;action=edit&amp;redlink=1" TargetMode="External"/><Relationship Id="rId11" Type="http://schemas.openxmlformats.org/officeDocument/2006/relationships/hyperlink" Target="http://sl.wikipedia.org/w/index.php?title=Otroci&amp;action=edit&amp;redlink=1" TargetMode="External"/><Relationship Id="rId5" Type="http://schemas.openxmlformats.org/officeDocument/2006/relationships/hyperlink" Target="http://sl.wikipedia.org/wiki/Alkohol" TargetMode="External"/><Relationship Id="rId15" Type="http://schemas.openxmlformats.org/officeDocument/2006/relationships/hyperlink" Target="http://sl.wikipedia.org/wiki/Roka" TargetMode="External"/><Relationship Id="rId10" Type="http://schemas.openxmlformats.org/officeDocument/2006/relationships/hyperlink" Target="http://sl.wikipedia.org/w/index.php?title=Du%C5%A1evna_razkrojenost&amp;action=edit&amp;redlink=1" TargetMode="External"/><Relationship Id="rId19" Type="http://schemas.openxmlformats.org/officeDocument/2006/relationships/hyperlink" Target="http://sl.wikipedia.org/w/index.php?title=Nasilnost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/index.php?title=Vnetje_%C5%BEivcev&amp;action=edit&amp;redlink=1" TargetMode="External"/><Relationship Id="rId14" Type="http://schemas.openxmlformats.org/officeDocument/2006/relationships/hyperlink" Target="http://sl.wikipedia.org/w/index.php?title=Opojnost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Links>
    <vt:vector size="90" baseType="variant">
      <vt:variant>
        <vt:i4>4915274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http://sl.wikipedia.org/w/index.php?title=Nasilnost&amp;action=edit&amp;redlink=1</vt:lpwstr>
      </vt:variant>
      <vt:variant>
        <vt:lpwstr/>
      </vt:variant>
      <vt:variant>
        <vt:i4>3604521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http://sl.wikipedia.org/w/index.php?title=Tesnoba&amp;action=edit&amp;redlink=1</vt:lpwstr>
      </vt:variant>
      <vt:variant>
        <vt:lpwstr/>
      </vt:variant>
      <vt:variant>
        <vt:i4>1376323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http://sl.wikipedia.org/wiki/Bruhanje</vt:lpwstr>
      </vt:variant>
      <vt:variant>
        <vt:lpwstr/>
      </vt:variant>
      <vt:variant>
        <vt:i4>2293801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http://sl.wikipedia.org/w/index.php?title=Slabost&amp;action=edit&amp;redlink=1</vt:lpwstr>
      </vt:variant>
      <vt:variant>
        <vt:lpwstr/>
      </vt:variant>
      <vt:variant>
        <vt:i4>1048664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http://sl.wikipedia.org/wiki/Roka</vt:lpwstr>
      </vt:variant>
      <vt:variant>
        <vt:lpwstr/>
      </vt:variant>
      <vt:variant>
        <vt:i4>2031692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http://sl.wikipedia.org/w/index.php?title=Opojnost&amp;action=edit&amp;redlink=1</vt:lpwstr>
      </vt:variant>
      <vt:variant>
        <vt:lpwstr/>
      </vt:variant>
      <vt:variant>
        <vt:i4>7077951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http://sl.wikipedia.org/wiki/Toleranca</vt:lpwstr>
      </vt:variant>
      <vt:variant>
        <vt:lpwstr/>
      </vt:variant>
      <vt:variant>
        <vt:i4>2097264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http://sl.wikipedia.org/wiki/Nose%C4%8Dnost</vt:lpwstr>
      </vt:variant>
      <vt:variant>
        <vt:lpwstr/>
      </vt:variant>
      <vt:variant>
        <vt:i4>7077935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http://sl.wikipedia.org/w/index.php?title=Otroci&amp;action=edit&amp;redlink=1</vt:lpwstr>
      </vt:variant>
      <vt:variant>
        <vt:lpwstr/>
      </vt:variant>
      <vt:variant>
        <vt:i4>4587642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http://sl.wikipedia.org/w/index.php?title=Du%C5%A1evna_razkrojenost&amp;action=edit&amp;redlink=1</vt:lpwstr>
      </vt:variant>
      <vt:variant>
        <vt:lpwstr/>
      </vt:variant>
      <vt:variant>
        <vt:i4>7274567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http://sl.wikipedia.org/w/index.php?title=Vnetje_%C5%BEivcev&amp;action=edit&amp;redlink=1</vt:lpwstr>
      </vt:variant>
      <vt:variant>
        <vt:lpwstr/>
      </vt:variant>
      <vt:variant>
        <vt:i4>3997774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http://sl.wikipedia.org/wiki/Ciroza_jeter</vt:lpwstr>
      </vt:variant>
      <vt:variant>
        <vt:lpwstr/>
      </vt:variant>
      <vt:variant>
        <vt:i4>1245272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http://sl.wikipedia.org/wiki/Bolezen</vt:lpwstr>
      </vt:variant>
      <vt:variant>
        <vt:lpwstr/>
      </vt:variant>
      <vt:variant>
        <vt:i4>7602290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http://sl.wikipedia.org/w/index.php?title=Pija%C4%8Da&amp;action=edit&amp;redlink=1</vt:lpwstr>
      </vt:variant>
      <vt:variant>
        <vt:lpwstr/>
      </vt:variant>
      <vt:variant>
        <vt:i4>458843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http://sl.wikipedia.org/wiki/Alkohol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2019-05-10T09:43:00Z</dcterms:created>
  <dcterms:modified xsi:type="dcterms:W3CDTF">2019-05-10T09:43:00Z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