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48B6" w14:textId="77777777" w:rsidR="00930745" w:rsidRDefault="00930745" w:rsidP="00930745">
      <w:bookmarkStart w:id="0" w:name="_GoBack"/>
      <w:bookmarkEnd w:id="0"/>
    </w:p>
    <w:p w14:paraId="4C1845A2" w14:textId="77777777" w:rsidR="00930745" w:rsidRDefault="00930745" w:rsidP="00930745">
      <w:pPr>
        <w:jc w:val="center"/>
        <w:rPr>
          <w:b/>
          <w:bCs/>
          <w:sz w:val="72"/>
        </w:rPr>
      </w:pPr>
    </w:p>
    <w:p w14:paraId="5A3437AF" w14:textId="5BB1D0F8" w:rsidR="00930745" w:rsidRDefault="00930745" w:rsidP="00930745">
      <w:pPr>
        <w:jc w:val="center"/>
        <w:rPr>
          <w:b/>
          <w:bCs/>
          <w:sz w:val="72"/>
        </w:rPr>
      </w:pPr>
    </w:p>
    <w:p w14:paraId="4FAA9189" w14:textId="5D9E0DA2" w:rsidR="00A041D5" w:rsidRDefault="00A041D5" w:rsidP="00930745">
      <w:pPr>
        <w:jc w:val="center"/>
        <w:rPr>
          <w:b/>
          <w:bCs/>
          <w:sz w:val="72"/>
        </w:rPr>
      </w:pPr>
    </w:p>
    <w:p w14:paraId="137DEA07" w14:textId="77777777" w:rsidR="00A041D5" w:rsidRDefault="00A041D5" w:rsidP="00930745">
      <w:pPr>
        <w:jc w:val="center"/>
        <w:rPr>
          <w:b/>
          <w:bCs/>
          <w:sz w:val="72"/>
        </w:rPr>
      </w:pPr>
    </w:p>
    <w:p w14:paraId="20491AA1" w14:textId="77777777" w:rsidR="00930745" w:rsidRDefault="00930745" w:rsidP="00930745">
      <w:pPr>
        <w:jc w:val="center"/>
        <w:rPr>
          <w:b/>
          <w:sz w:val="80"/>
        </w:rPr>
      </w:pPr>
      <w:r>
        <w:rPr>
          <w:sz w:val="72"/>
        </w:rPr>
        <w:t xml:space="preserve">POROČILO O VAJI: </w:t>
      </w:r>
    </w:p>
    <w:p w14:paraId="2F8F551A" w14:textId="77777777" w:rsidR="00930745" w:rsidRPr="00CA6E12" w:rsidRDefault="00930745" w:rsidP="00930745">
      <w:pPr>
        <w:jc w:val="center"/>
        <w:rPr>
          <w:bCs/>
          <w:sz w:val="80"/>
        </w:rPr>
      </w:pPr>
      <w:r>
        <w:rPr>
          <w:b/>
          <w:sz w:val="80"/>
        </w:rPr>
        <w:t>AGAR KOCKE</w:t>
      </w:r>
    </w:p>
    <w:p w14:paraId="28C08C48" w14:textId="77777777" w:rsidR="00930745" w:rsidRDefault="00930745" w:rsidP="00930745">
      <w:pPr>
        <w:jc w:val="center"/>
        <w:rPr>
          <w:b/>
          <w:bCs/>
          <w:sz w:val="80"/>
        </w:rPr>
      </w:pPr>
    </w:p>
    <w:p w14:paraId="7DD264B8" w14:textId="77777777" w:rsidR="00930745" w:rsidRDefault="00930745" w:rsidP="00930745">
      <w:pPr>
        <w:jc w:val="center"/>
        <w:rPr>
          <w:sz w:val="80"/>
        </w:rPr>
      </w:pPr>
    </w:p>
    <w:p w14:paraId="01F9A985" w14:textId="4B3B7A4E" w:rsidR="00930745" w:rsidRDefault="00930745" w:rsidP="00930745"/>
    <w:p w14:paraId="43CFD8BA" w14:textId="77777777" w:rsidR="0037496B" w:rsidRDefault="0037496B" w:rsidP="00930745"/>
    <w:p w14:paraId="61E90059" w14:textId="77777777" w:rsidR="00930745" w:rsidRDefault="00930745" w:rsidP="00930745"/>
    <w:p w14:paraId="42BF368B" w14:textId="77777777" w:rsidR="00930745" w:rsidRDefault="00930745" w:rsidP="00930745"/>
    <w:p w14:paraId="3C9C45AB" w14:textId="77777777" w:rsidR="00930745" w:rsidRDefault="00930745" w:rsidP="00930745"/>
    <w:p w14:paraId="52297C6C" w14:textId="77777777" w:rsidR="00930745" w:rsidRDefault="00930745" w:rsidP="00930745"/>
    <w:p w14:paraId="1C972A21" w14:textId="77777777" w:rsidR="00930745" w:rsidRDefault="00930745" w:rsidP="00930745"/>
    <w:p w14:paraId="6E38073B" w14:textId="77777777" w:rsidR="00930745" w:rsidRDefault="00930745" w:rsidP="00930745"/>
    <w:p w14:paraId="767A5B11" w14:textId="77777777" w:rsidR="00930745" w:rsidRDefault="00930745" w:rsidP="00930745"/>
    <w:p w14:paraId="4F048619" w14:textId="77777777" w:rsidR="00930745" w:rsidRDefault="00930745" w:rsidP="00930745"/>
    <w:p w14:paraId="7B994EB6" w14:textId="77777777" w:rsidR="00930745" w:rsidRDefault="00930745" w:rsidP="00930745"/>
    <w:p w14:paraId="436D8FF5" w14:textId="77777777" w:rsidR="00930745" w:rsidRDefault="00930745" w:rsidP="00930745"/>
    <w:p w14:paraId="5D387CF3" w14:textId="77777777" w:rsidR="00930745" w:rsidRDefault="00930745" w:rsidP="00930745"/>
    <w:p w14:paraId="5B1E530A" w14:textId="77777777" w:rsidR="00930745" w:rsidRDefault="00930745" w:rsidP="00930745"/>
    <w:p w14:paraId="35647B87" w14:textId="77777777" w:rsidR="00CB655D" w:rsidRDefault="00CB655D">
      <w:pPr>
        <w:rPr>
          <w:b/>
          <w:i/>
          <w:sz w:val="24"/>
        </w:rPr>
      </w:pPr>
    </w:p>
    <w:p w14:paraId="6AE3BC29" w14:textId="77777777" w:rsidR="00930745" w:rsidRDefault="00930745">
      <w:pPr>
        <w:rPr>
          <w:b/>
          <w:i/>
          <w:sz w:val="24"/>
        </w:rPr>
      </w:pPr>
    </w:p>
    <w:p w14:paraId="3DB67418" w14:textId="77777777" w:rsidR="00930745" w:rsidRDefault="00930745">
      <w:pPr>
        <w:rPr>
          <w:b/>
          <w:i/>
          <w:sz w:val="24"/>
        </w:rPr>
      </w:pPr>
    </w:p>
    <w:p w14:paraId="1B9098A9" w14:textId="77777777" w:rsidR="00930745" w:rsidRDefault="00930745">
      <w:pPr>
        <w:rPr>
          <w:b/>
          <w:i/>
          <w:sz w:val="24"/>
        </w:rPr>
      </w:pPr>
    </w:p>
    <w:p w14:paraId="153D3A01" w14:textId="77777777" w:rsidR="00930745" w:rsidRDefault="00930745">
      <w:pPr>
        <w:rPr>
          <w:b/>
          <w:i/>
          <w:sz w:val="24"/>
        </w:rPr>
      </w:pPr>
    </w:p>
    <w:p w14:paraId="68E6EB16" w14:textId="77777777" w:rsidR="00930745" w:rsidRDefault="00930745">
      <w:pPr>
        <w:rPr>
          <w:b/>
          <w:i/>
          <w:sz w:val="24"/>
        </w:rPr>
      </w:pPr>
    </w:p>
    <w:p w14:paraId="7DD5AA11" w14:textId="77777777" w:rsidR="00930745" w:rsidRDefault="00930745">
      <w:pPr>
        <w:rPr>
          <w:b/>
          <w:i/>
          <w:sz w:val="24"/>
        </w:rPr>
      </w:pPr>
    </w:p>
    <w:p w14:paraId="08EA50C8" w14:textId="77777777" w:rsidR="00930745" w:rsidRDefault="00930745">
      <w:pPr>
        <w:rPr>
          <w:b/>
          <w:i/>
          <w:sz w:val="24"/>
        </w:rPr>
      </w:pPr>
    </w:p>
    <w:p w14:paraId="2029ACD9" w14:textId="77777777" w:rsidR="00930745" w:rsidRDefault="00930745">
      <w:pPr>
        <w:rPr>
          <w:b/>
          <w:i/>
          <w:sz w:val="24"/>
        </w:rPr>
      </w:pPr>
    </w:p>
    <w:p w14:paraId="79D8D067" w14:textId="77777777" w:rsidR="00930745" w:rsidRDefault="00930745">
      <w:pPr>
        <w:rPr>
          <w:b/>
          <w:i/>
          <w:sz w:val="24"/>
        </w:rPr>
      </w:pPr>
    </w:p>
    <w:p w14:paraId="0DBFFBE1" w14:textId="77777777" w:rsidR="00930745" w:rsidRDefault="00930745">
      <w:pPr>
        <w:rPr>
          <w:b/>
          <w:i/>
          <w:sz w:val="24"/>
        </w:rPr>
      </w:pPr>
    </w:p>
    <w:p w14:paraId="192E8EFA" w14:textId="77777777" w:rsidR="00930745" w:rsidRDefault="00930745">
      <w:pPr>
        <w:rPr>
          <w:b/>
          <w:i/>
          <w:sz w:val="24"/>
        </w:rPr>
      </w:pPr>
    </w:p>
    <w:p w14:paraId="2A2FD50E" w14:textId="77777777" w:rsidR="00930745" w:rsidRDefault="00930745">
      <w:pPr>
        <w:rPr>
          <w:b/>
          <w:i/>
          <w:sz w:val="24"/>
        </w:rPr>
      </w:pPr>
    </w:p>
    <w:p w14:paraId="080D3176" w14:textId="77777777" w:rsidR="00930745" w:rsidRDefault="00930745">
      <w:pPr>
        <w:rPr>
          <w:b/>
          <w:i/>
          <w:sz w:val="24"/>
        </w:rPr>
      </w:pPr>
    </w:p>
    <w:p w14:paraId="29F0E458" w14:textId="77777777" w:rsidR="00CB655D" w:rsidRDefault="00CB655D">
      <w:pPr>
        <w:numPr>
          <w:ilvl w:val="0"/>
          <w:numId w:val="1"/>
        </w:numPr>
        <w:rPr>
          <w:b/>
          <w:i/>
          <w:sz w:val="24"/>
        </w:rPr>
      </w:pPr>
      <w:r>
        <w:rPr>
          <w:b/>
          <w:i/>
          <w:sz w:val="24"/>
        </w:rPr>
        <w:lastRenderedPageBreak/>
        <w:t>Uvod</w:t>
      </w:r>
    </w:p>
    <w:p w14:paraId="1974D38C" w14:textId="77777777" w:rsidR="00CB655D" w:rsidRDefault="00CB655D">
      <w:pPr>
        <w:rPr>
          <w:i/>
          <w:sz w:val="24"/>
        </w:rPr>
      </w:pPr>
      <w:r>
        <w:rPr>
          <w:i/>
          <w:sz w:val="24"/>
        </w:rPr>
        <w:t xml:space="preserve">Ko celice zrastejo do dolocene velikosti, zacne njihova rast pojemati, dokler popolnoma ne preneha. Celice so dosegle mejo svoje velikosti. Ce se taka cellica deli, novonastali celici spet rasteta. Snovi, ki so potrebne za rast celice, vstopajo skozi njeno povrsino, skozi povrsino pa izstopajo tudi nerabne snovi. Na prvi pogled se zdi smiselno, da ima velika celica tudi veliko povrsino, skozi katero izmenjuje snovi z okoljem. Hkrati pa je res, da z velikostjo celice raste tudi njen volumen. </w:t>
      </w:r>
    </w:p>
    <w:p w14:paraId="31E45197" w14:textId="77777777" w:rsidR="00CB655D" w:rsidRDefault="00CB655D">
      <w:pPr>
        <w:rPr>
          <w:i/>
          <w:sz w:val="24"/>
        </w:rPr>
      </w:pPr>
    </w:p>
    <w:p w14:paraId="1F1ADC62" w14:textId="77777777" w:rsidR="00CB655D" w:rsidRDefault="00CB655D">
      <w:pPr>
        <w:numPr>
          <w:ilvl w:val="0"/>
          <w:numId w:val="1"/>
        </w:numPr>
        <w:rPr>
          <w:b/>
          <w:i/>
          <w:sz w:val="24"/>
        </w:rPr>
      </w:pPr>
      <w:r>
        <w:rPr>
          <w:b/>
          <w:i/>
          <w:sz w:val="24"/>
        </w:rPr>
        <w:t>Postopek (material in metode dela)</w:t>
      </w:r>
    </w:p>
    <w:p w14:paraId="64855CDD" w14:textId="77777777" w:rsidR="00CB655D" w:rsidRDefault="00CB655D">
      <w:pPr>
        <w:pStyle w:val="BodyText"/>
        <w:numPr>
          <w:ilvl w:val="0"/>
          <w:numId w:val="2"/>
        </w:numPr>
        <w:rPr>
          <w:i w:val="0"/>
        </w:rPr>
      </w:pPr>
      <w:r>
        <w:t>Material: kos agar- fenolftaleina (fenolftalein je indikator za bazicno okolje), milimetrsko ravnilo, britvice, 100ml 10% raztopine NaOH, 250ml casa, plasticna zlica, papirnate brisace, steklena plosca.</w:t>
      </w:r>
    </w:p>
    <w:p w14:paraId="6B486C24" w14:textId="77777777" w:rsidR="00CB655D" w:rsidRDefault="00CB655D">
      <w:pPr>
        <w:pStyle w:val="BodyText"/>
        <w:numPr>
          <w:ilvl w:val="0"/>
          <w:numId w:val="2"/>
        </w:numPr>
        <w:rPr>
          <w:i w:val="0"/>
        </w:rPr>
      </w:pPr>
      <w:r>
        <w:t xml:space="preserve">Postopek: </w:t>
      </w:r>
    </w:p>
    <w:p w14:paraId="54698375" w14:textId="77777777" w:rsidR="00CB655D" w:rsidRDefault="00CB655D">
      <w:pPr>
        <w:pStyle w:val="BodyText"/>
        <w:numPr>
          <w:ilvl w:val="0"/>
          <w:numId w:val="2"/>
        </w:numPr>
        <w:tabs>
          <w:tab w:val="clear" w:pos="360"/>
          <w:tab w:val="num" w:pos="720"/>
        </w:tabs>
        <w:ind w:left="720"/>
      </w:pPr>
      <w:r>
        <w:t>Izrezemo kocke agar- fenolftaleina s stranicami 10, 20 in 30mm.</w:t>
      </w:r>
    </w:p>
    <w:p w14:paraId="6EE50C5F" w14:textId="77777777" w:rsidR="00CB655D" w:rsidRDefault="00CB655D">
      <w:pPr>
        <w:pStyle w:val="BodyText"/>
        <w:numPr>
          <w:ilvl w:val="0"/>
          <w:numId w:val="2"/>
        </w:numPr>
        <w:tabs>
          <w:tab w:val="clear" w:pos="360"/>
          <w:tab w:val="num" w:pos="720"/>
        </w:tabs>
        <w:ind w:left="720"/>
        <w:rPr>
          <w:i w:val="0"/>
        </w:rPr>
      </w:pPr>
      <w:r>
        <w:t>Kocke damo v caso in jih prelijemo z NaOH, v naslednjih 3- 5 minutah s plasticno zlico veckrat premesamo, da so vse stranice kock v stiku z NaOH.</w:t>
      </w:r>
    </w:p>
    <w:p w14:paraId="641895CA" w14:textId="77777777" w:rsidR="00CB655D" w:rsidRDefault="00CB655D">
      <w:pPr>
        <w:pStyle w:val="BodyText"/>
        <w:numPr>
          <w:ilvl w:val="0"/>
          <w:numId w:val="2"/>
        </w:numPr>
        <w:tabs>
          <w:tab w:val="clear" w:pos="360"/>
          <w:tab w:val="num" w:pos="720"/>
        </w:tabs>
        <w:ind w:left="720"/>
        <w:rPr>
          <w:i w:val="0"/>
        </w:rPr>
      </w:pPr>
      <w:r>
        <w:t>Po 3- 5 minutah vzamemo kocke ven z zlico in jih takoj osusimo s papirnato brisaco. Vse kocke prerezemo na polovico. Pred vsakim rezom britvico obrisemo!</w:t>
      </w:r>
    </w:p>
    <w:p w14:paraId="1E375B33" w14:textId="77777777" w:rsidR="00CB655D" w:rsidRDefault="00CB655D">
      <w:pPr>
        <w:pStyle w:val="BodyText"/>
        <w:numPr>
          <w:ilvl w:val="0"/>
          <w:numId w:val="2"/>
        </w:numPr>
        <w:tabs>
          <w:tab w:val="clear" w:pos="360"/>
          <w:tab w:val="num" w:pos="720"/>
        </w:tabs>
        <w:ind w:left="720"/>
        <w:rPr>
          <w:i w:val="0"/>
        </w:rPr>
      </w:pPr>
      <w:r>
        <w:t xml:space="preserve">Izmerimo globino obarvanega podrocja. To je obseg difuzije. Izmerimo se neobarvano podrocje v notranjosti kock. </w:t>
      </w:r>
    </w:p>
    <w:p w14:paraId="4CB26DD2" w14:textId="77777777" w:rsidR="00CB655D" w:rsidRDefault="00CB655D">
      <w:pPr>
        <w:pStyle w:val="BodyText"/>
        <w:numPr>
          <w:ilvl w:val="0"/>
          <w:numId w:val="2"/>
        </w:numPr>
        <w:tabs>
          <w:tab w:val="clear" w:pos="360"/>
          <w:tab w:val="num" w:pos="720"/>
        </w:tabs>
        <w:ind w:left="720"/>
        <w:rPr>
          <w:i w:val="0"/>
        </w:rPr>
      </w:pPr>
      <w:r>
        <w:t>Izracunamo povrsino in volumen neobarvanega dela kock. Izrazimo razmerje med volumnom neobarvanega dela in volumnom cele kocke.</w:t>
      </w:r>
    </w:p>
    <w:p w14:paraId="742BF743" w14:textId="77777777" w:rsidR="00CB655D" w:rsidRDefault="00CB655D">
      <w:pPr>
        <w:pStyle w:val="BodyText"/>
      </w:pPr>
    </w:p>
    <w:p w14:paraId="55B9CDB5" w14:textId="77777777" w:rsidR="00CB655D" w:rsidRDefault="00CB655D">
      <w:pPr>
        <w:pStyle w:val="BodyText"/>
        <w:numPr>
          <w:ilvl w:val="0"/>
          <w:numId w:val="1"/>
        </w:numPr>
        <w:rPr>
          <w:b/>
        </w:rPr>
      </w:pPr>
      <w:r>
        <w:rPr>
          <w:b/>
        </w:rPr>
        <w:t>Rezultati</w:t>
      </w:r>
    </w:p>
    <w:p w14:paraId="54158912" w14:textId="77777777" w:rsidR="00CB655D" w:rsidRDefault="00CB655D">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CB655D" w14:paraId="786E20CD" w14:textId="77777777">
        <w:tc>
          <w:tcPr>
            <w:tcW w:w="1535" w:type="dxa"/>
          </w:tcPr>
          <w:p w14:paraId="59385C17" w14:textId="77777777" w:rsidR="00CB655D" w:rsidRDefault="00CB655D">
            <w:pPr>
              <w:pStyle w:val="BodyText"/>
              <w:rPr>
                <w:b/>
                <w:sz w:val="20"/>
              </w:rPr>
            </w:pPr>
            <w:r>
              <w:rPr>
                <w:b/>
                <w:sz w:val="20"/>
              </w:rPr>
              <w:t>Stranica kocke (mm)</w:t>
            </w:r>
          </w:p>
        </w:tc>
        <w:tc>
          <w:tcPr>
            <w:tcW w:w="1535" w:type="dxa"/>
          </w:tcPr>
          <w:p w14:paraId="6231D56A" w14:textId="77777777" w:rsidR="00CB655D" w:rsidRDefault="00CB655D">
            <w:pPr>
              <w:pStyle w:val="BodyText"/>
              <w:rPr>
                <w:b/>
                <w:sz w:val="20"/>
              </w:rPr>
            </w:pPr>
            <w:r>
              <w:rPr>
                <w:b/>
                <w:sz w:val="20"/>
              </w:rPr>
              <w:t>P (mm</w:t>
            </w:r>
            <w:r>
              <w:rPr>
                <w:b/>
                <w:sz w:val="20"/>
                <w:vertAlign w:val="superscript"/>
              </w:rPr>
              <w:t>2</w:t>
            </w:r>
            <w:r>
              <w:rPr>
                <w:b/>
                <w:sz w:val="20"/>
              </w:rPr>
              <w:t>)</w:t>
            </w:r>
          </w:p>
        </w:tc>
        <w:tc>
          <w:tcPr>
            <w:tcW w:w="1535" w:type="dxa"/>
          </w:tcPr>
          <w:p w14:paraId="2CD53566" w14:textId="77777777" w:rsidR="00CB655D" w:rsidRDefault="00CB655D">
            <w:pPr>
              <w:pStyle w:val="BodyText"/>
              <w:rPr>
                <w:b/>
                <w:sz w:val="20"/>
              </w:rPr>
            </w:pPr>
            <w:r>
              <w:rPr>
                <w:b/>
                <w:sz w:val="20"/>
              </w:rPr>
              <w:t>V (mm</w:t>
            </w:r>
            <w:r>
              <w:rPr>
                <w:b/>
                <w:sz w:val="20"/>
                <w:vertAlign w:val="superscript"/>
              </w:rPr>
              <w:t>3</w:t>
            </w:r>
            <w:r>
              <w:rPr>
                <w:b/>
                <w:sz w:val="20"/>
              </w:rPr>
              <w:t>)</w:t>
            </w:r>
          </w:p>
        </w:tc>
        <w:tc>
          <w:tcPr>
            <w:tcW w:w="1535" w:type="dxa"/>
          </w:tcPr>
          <w:p w14:paraId="0A6E677E" w14:textId="77777777" w:rsidR="00CB655D" w:rsidRDefault="00CB655D">
            <w:pPr>
              <w:pStyle w:val="BodyText"/>
              <w:rPr>
                <w:b/>
                <w:sz w:val="20"/>
              </w:rPr>
            </w:pPr>
            <w:r>
              <w:rPr>
                <w:b/>
                <w:sz w:val="20"/>
              </w:rPr>
              <w:t>P/V (mm</w:t>
            </w:r>
            <w:r>
              <w:rPr>
                <w:b/>
                <w:sz w:val="20"/>
                <w:vertAlign w:val="superscript"/>
              </w:rPr>
              <w:t>-1</w:t>
            </w:r>
            <w:r>
              <w:rPr>
                <w:b/>
                <w:sz w:val="20"/>
              </w:rPr>
              <w:t>)</w:t>
            </w:r>
          </w:p>
        </w:tc>
        <w:tc>
          <w:tcPr>
            <w:tcW w:w="1535" w:type="dxa"/>
          </w:tcPr>
          <w:p w14:paraId="488513A8" w14:textId="77777777" w:rsidR="00CB655D" w:rsidRDefault="00CB655D">
            <w:pPr>
              <w:pStyle w:val="BodyText"/>
              <w:rPr>
                <w:b/>
                <w:sz w:val="20"/>
              </w:rPr>
            </w:pPr>
            <w:r>
              <w:rPr>
                <w:b/>
                <w:sz w:val="20"/>
              </w:rPr>
              <w:t>V</w:t>
            </w:r>
            <w:r>
              <w:rPr>
                <w:b/>
                <w:sz w:val="20"/>
                <w:vertAlign w:val="subscript"/>
              </w:rPr>
              <w:t>obarvanega dela</w:t>
            </w:r>
            <w:r>
              <w:rPr>
                <w:b/>
                <w:sz w:val="20"/>
                <w:vertAlign w:val="superscript"/>
              </w:rPr>
              <w:t xml:space="preserve"> </w:t>
            </w:r>
            <w:r>
              <w:rPr>
                <w:b/>
                <w:sz w:val="20"/>
              </w:rPr>
              <w:t>(mm</w:t>
            </w:r>
            <w:r>
              <w:rPr>
                <w:b/>
                <w:sz w:val="20"/>
                <w:vertAlign w:val="superscript"/>
              </w:rPr>
              <w:t>3</w:t>
            </w:r>
            <w:r>
              <w:rPr>
                <w:b/>
                <w:sz w:val="20"/>
              </w:rPr>
              <w:t>)</w:t>
            </w:r>
          </w:p>
        </w:tc>
        <w:tc>
          <w:tcPr>
            <w:tcW w:w="1535" w:type="dxa"/>
          </w:tcPr>
          <w:p w14:paraId="344FE76D" w14:textId="77777777" w:rsidR="00CB655D" w:rsidRDefault="00CB655D">
            <w:pPr>
              <w:pStyle w:val="BodyText"/>
              <w:rPr>
                <w:b/>
                <w:sz w:val="20"/>
              </w:rPr>
            </w:pPr>
            <w:r>
              <w:rPr>
                <w:b/>
                <w:sz w:val="20"/>
              </w:rPr>
              <w:t>V</w:t>
            </w:r>
            <w:r>
              <w:rPr>
                <w:b/>
                <w:sz w:val="20"/>
                <w:vertAlign w:val="subscript"/>
              </w:rPr>
              <w:t>obarvanega dela</w:t>
            </w:r>
            <w:r>
              <w:rPr>
                <w:b/>
                <w:sz w:val="20"/>
              </w:rPr>
              <w:t>/V</w:t>
            </w:r>
          </w:p>
        </w:tc>
      </w:tr>
      <w:tr w:rsidR="00CB655D" w14:paraId="11BB95F7" w14:textId="77777777">
        <w:tc>
          <w:tcPr>
            <w:tcW w:w="1535" w:type="dxa"/>
          </w:tcPr>
          <w:p w14:paraId="33ED615E" w14:textId="77777777" w:rsidR="00CB655D" w:rsidRDefault="00CB655D">
            <w:pPr>
              <w:pStyle w:val="BodyText"/>
              <w:rPr>
                <w:b/>
                <w:sz w:val="20"/>
              </w:rPr>
            </w:pPr>
            <w:r>
              <w:rPr>
                <w:b/>
                <w:sz w:val="20"/>
              </w:rPr>
              <w:t>30</w:t>
            </w:r>
          </w:p>
        </w:tc>
        <w:tc>
          <w:tcPr>
            <w:tcW w:w="1535" w:type="dxa"/>
          </w:tcPr>
          <w:p w14:paraId="34BD2798" w14:textId="77777777" w:rsidR="00CB655D" w:rsidRDefault="00CB655D">
            <w:pPr>
              <w:pStyle w:val="BodyText"/>
              <w:rPr>
                <w:sz w:val="20"/>
              </w:rPr>
            </w:pPr>
            <w:r>
              <w:rPr>
                <w:sz w:val="20"/>
              </w:rPr>
              <w:t>5400</w:t>
            </w:r>
          </w:p>
        </w:tc>
        <w:tc>
          <w:tcPr>
            <w:tcW w:w="1535" w:type="dxa"/>
          </w:tcPr>
          <w:p w14:paraId="57A4C0E4" w14:textId="77777777" w:rsidR="00CB655D" w:rsidRDefault="00CB655D">
            <w:pPr>
              <w:pStyle w:val="BodyText"/>
              <w:rPr>
                <w:sz w:val="20"/>
              </w:rPr>
            </w:pPr>
            <w:r>
              <w:rPr>
                <w:sz w:val="20"/>
              </w:rPr>
              <w:t>27000</w:t>
            </w:r>
          </w:p>
        </w:tc>
        <w:tc>
          <w:tcPr>
            <w:tcW w:w="1535" w:type="dxa"/>
          </w:tcPr>
          <w:p w14:paraId="6688E063" w14:textId="77777777" w:rsidR="00CB655D" w:rsidRDefault="00CB655D">
            <w:pPr>
              <w:pStyle w:val="BodyText"/>
              <w:rPr>
                <w:sz w:val="20"/>
              </w:rPr>
            </w:pPr>
            <w:r>
              <w:rPr>
                <w:sz w:val="20"/>
              </w:rPr>
              <w:t>1:5</w:t>
            </w:r>
          </w:p>
        </w:tc>
        <w:tc>
          <w:tcPr>
            <w:tcW w:w="1535" w:type="dxa"/>
          </w:tcPr>
          <w:p w14:paraId="2C1535F2" w14:textId="77777777" w:rsidR="00CB655D" w:rsidRDefault="00930745">
            <w:pPr>
              <w:pStyle w:val="BodyText"/>
              <w:rPr>
                <w:sz w:val="20"/>
              </w:rPr>
            </w:pPr>
            <w:r>
              <w:rPr>
                <w:sz w:val="20"/>
              </w:rPr>
              <w:t>13176</w:t>
            </w:r>
          </w:p>
        </w:tc>
        <w:tc>
          <w:tcPr>
            <w:tcW w:w="1535" w:type="dxa"/>
          </w:tcPr>
          <w:p w14:paraId="44C341AE" w14:textId="77777777" w:rsidR="00CB655D" w:rsidRDefault="00930745">
            <w:pPr>
              <w:pStyle w:val="BodyText"/>
              <w:rPr>
                <w:sz w:val="20"/>
              </w:rPr>
            </w:pPr>
            <w:r>
              <w:rPr>
                <w:sz w:val="20"/>
              </w:rPr>
              <w:t>1:1,07</w:t>
            </w:r>
          </w:p>
        </w:tc>
      </w:tr>
      <w:tr w:rsidR="00CB655D" w14:paraId="6B753A72" w14:textId="77777777">
        <w:tc>
          <w:tcPr>
            <w:tcW w:w="1535" w:type="dxa"/>
          </w:tcPr>
          <w:p w14:paraId="6474F1D4" w14:textId="77777777" w:rsidR="00CB655D" w:rsidRDefault="00CB655D">
            <w:pPr>
              <w:pStyle w:val="BodyText"/>
              <w:rPr>
                <w:b/>
                <w:sz w:val="20"/>
              </w:rPr>
            </w:pPr>
            <w:r>
              <w:rPr>
                <w:b/>
                <w:sz w:val="20"/>
              </w:rPr>
              <w:t>20</w:t>
            </w:r>
          </w:p>
        </w:tc>
        <w:tc>
          <w:tcPr>
            <w:tcW w:w="1535" w:type="dxa"/>
          </w:tcPr>
          <w:p w14:paraId="756E4EB2" w14:textId="77777777" w:rsidR="00CB655D" w:rsidRDefault="00CB655D">
            <w:pPr>
              <w:pStyle w:val="BodyText"/>
              <w:rPr>
                <w:sz w:val="20"/>
              </w:rPr>
            </w:pPr>
            <w:r>
              <w:rPr>
                <w:sz w:val="20"/>
              </w:rPr>
              <w:t>2400</w:t>
            </w:r>
          </w:p>
        </w:tc>
        <w:tc>
          <w:tcPr>
            <w:tcW w:w="1535" w:type="dxa"/>
          </w:tcPr>
          <w:p w14:paraId="23CDE619" w14:textId="77777777" w:rsidR="00CB655D" w:rsidRDefault="00CB655D">
            <w:pPr>
              <w:pStyle w:val="BodyText"/>
              <w:rPr>
                <w:sz w:val="20"/>
              </w:rPr>
            </w:pPr>
            <w:r>
              <w:rPr>
                <w:sz w:val="20"/>
              </w:rPr>
              <w:t>8000</w:t>
            </w:r>
          </w:p>
        </w:tc>
        <w:tc>
          <w:tcPr>
            <w:tcW w:w="1535" w:type="dxa"/>
          </w:tcPr>
          <w:p w14:paraId="2D01020F" w14:textId="77777777" w:rsidR="00CB655D" w:rsidRDefault="00CB655D">
            <w:pPr>
              <w:pStyle w:val="BodyText"/>
              <w:rPr>
                <w:sz w:val="20"/>
              </w:rPr>
            </w:pPr>
            <w:r>
              <w:rPr>
                <w:sz w:val="20"/>
              </w:rPr>
              <w:t>1:3</w:t>
            </w:r>
          </w:p>
        </w:tc>
        <w:tc>
          <w:tcPr>
            <w:tcW w:w="1535" w:type="dxa"/>
          </w:tcPr>
          <w:p w14:paraId="1AB8BD0A" w14:textId="77777777" w:rsidR="00CB655D" w:rsidRDefault="00930745">
            <w:pPr>
              <w:pStyle w:val="BodyText"/>
              <w:rPr>
                <w:sz w:val="20"/>
              </w:rPr>
            </w:pPr>
            <w:r>
              <w:rPr>
                <w:sz w:val="20"/>
              </w:rPr>
              <w:t>5256</w:t>
            </w:r>
          </w:p>
        </w:tc>
        <w:tc>
          <w:tcPr>
            <w:tcW w:w="1535" w:type="dxa"/>
          </w:tcPr>
          <w:p w14:paraId="3C38D5F7" w14:textId="77777777" w:rsidR="00CB655D" w:rsidRDefault="00930745">
            <w:pPr>
              <w:pStyle w:val="BodyText"/>
              <w:rPr>
                <w:sz w:val="20"/>
              </w:rPr>
            </w:pPr>
            <w:r>
              <w:rPr>
                <w:sz w:val="20"/>
              </w:rPr>
              <w:t>1:1,52</w:t>
            </w:r>
          </w:p>
        </w:tc>
      </w:tr>
      <w:tr w:rsidR="00CB655D" w14:paraId="2BE57985" w14:textId="77777777">
        <w:tc>
          <w:tcPr>
            <w:tcW w:w="1535" w:type="dxa"/>
          </w:tcPr>
          <w:p w14:paraId="0B501FD4" w14:textId="77777777" w:rsidR="00CB655D" w:rsidRDefault="00CB655D">
            <w:pPr>
              <w:pStyle w:val="BodyText"/>
              <w:rPr>
                <w:b/>
                <w:sz w:val="20"/>
              </w:rPr>
            </w:pPr>
            <w:r>
              <w:rPr>
                <w:b/>
                <w:sz w:val="20"/>
              </w:rPr>
              <w:t>10</w:t>
            </w:r>
          </w:p>
        </w:tc>
        <w:tc>
          <w:tcPr>
            <w:tcW w:w="1535" w:type="dxa"/>
          </w:tcPr>
          <w:p w14:paraId="1BE1B799" w14:textId="77777777" w:rsidR="00CB655D" w:rsidRDefault="00CB655D">
            <w:pPr>
              <w:pStyle w:val="BodyText"/>
              <w:rPr>
                <w:sz w:val="20"/>
              </w:rPr>
            </w:pPr>
            <w:r>
              <w:rPr>
                <w:sz w:val="20"/>
              </w:rPr>
              <w:t>600</w:t>
            </w:r>
          </w:p>
        </w:tc>
        <w:tc>
          <w:tcPr>
            <w:tcW w:w="1535" w:type="dxa"/>
          </w:tcPr>
          <w:p w14:paraId="3D4D292C" w14:textId="77777777" w:rsidR="00CB655D" w:rsidRDefault="00CB655D">
            <w:pPr>
              <w:pStyle w:val="BodyText"/>
              <w:rPr>
                <w:sz w:val="20"/>
              </w:rPr>
            </w:pPr>
            <w:r>
              <w:rPr>
                <w:sz w:val="20"/>
              </w:rPr>
              <w:t>1000</w:t>
            </w:r>
          </w:p>
        </w:tc>
        <w:tc>
          <w:tcPr>
            <w:tcW w:w="1535" w:type="dxa"/>
          </w:tcPr>
          <w:p w14:paraId="5431467D" w14:textId="77777777" w:rsidR="00CB655D" w:rsidRDefault="00CB655D">
            <w:pPr>
              <w:pStyle w:val="BodyText"/>
              <w:rPr>
                <w:sz w:val="20"/>
              </w:rPr>
            </w:pPr>
            <w:r>
              <w:rPr>
                <w:sz w:val="20"/>
              </w:rPr>
              <w:t>3:5</w:t>
            </w:r>
          </w:p>
        </w:tc>
        <w:tc>
          <w:tcPr>
            <w:tcW w:w="1535" w:type="dxa"/>
          </w:tcPr>
          <w:p w14:paraId="016A0A85" w14:textId="77777777" w:rsidR="00CB655D" w:rsidRDefault="00930745">
            <w:pPr>
              <w:pStyle w:val="BodyText"/>
              <w:rPr>
                <w:sz w:val="20"/>
              </w:rPr>
            </w:pPr>
            <w:r>
              <w:rPr>
                <w:sz w:val="20"/>
              </w:rPr>
              <w:t>936</w:t>
            </w:r>
          </w:p>
        </w:tc>
        <w:tc>
          <w:tcPr>
            <w:tcW w:w="1535" w:type="dxa"/>
          </w:tcPr>
          <w:p w14:paraId="5C225360" w14:textId="77777777" w:rsidR="00CB655D" w:rsidRDefault="00930745">
            <w:pPr>
              <w:pStyle w:val="BodyText"/>
              <w:rPr>
                <w:sz w:val="20"/>
              </w:rPr>
            </w:pPr>
            <w:r>
              <w:rPr>
                <w:sz w:val="20"/>
              </w:rPr>
              <w:t>1:2,05</w:t>
            </w:r>
          </w:p>
        </w:tc>
      </w:tr>
    </w:tbl>
    <w:p w14:paraId="1D73BAFC" w14:textId="77777777" w:rsidR="00CB655D" w:rsidRDefault="00CB655D">
      <w:pPr>
        <w:pStyle w:val="BodyText"/>
        <w:rPr>
          <w:i w:val="0"/>
        </w:rPr>
      </w:pPr>
    </w:p>
    <w:p w14:paraId="7BD91CF3" w14:textId="77777777" w:rsidR="00CB655D" w:rsidRDefault="00CB655D">
      <w:pPr>
        <w:pStyle w:val="BodyText"/>
        <w:numPr>
          <w:ilvl w:val="0"/>
          <w:numId w:val="1"/>
        </w:numPr>
        <w:rPr>
          <w:b/>
        </w:rPr>
      </w:pPr>
      <w:r>
        <w:rPr>
          <w:b/>
        </w:rPr>
        <w:t>Razprava</w:t>
      </w:r>
    </w:p>
    <w:p w14:paraId="53389A73" w14:textId="77777777" w:rsidR="00CB655D" w:rsidRDefault="00930745">
      <w:pPr>
        <w:pStyle w:val="BodyText"/>
      </w:pPr>
      <w:r>
        <w:t>Površina kocke ne narašča sorazmerno z volumnom, tako  pri 3krat večjem volumnu površina ni 3krat večja. Zato se z večanjem volumna kocke, manjša delež obarvanega dela- v kocko je prodro manj barvila. Zato celice ne morejo biti velike, saj bi prišlo do problemov s prehajanjem snovi.</w:t>
      </w:r>
    </w:p>
    <w:p w14:paraId="3D8A1780" w14:textId="77777777" w:rsidR="00CB655D" w:rsidRDefault="00CB655D">
      <w:pPr>
        <w:pStyle w:val="BodyText"/>
      </w:pPr>
    </w:p>
    <w:p w14:paraId="75B46EA6" w14:textId="77777777" w:rsidR="00CB655D" w:rsidRDefault="00CB655D">
      <w:pPr>
        <w:pStyle w:val="BodyText"/>
        <w:numPr>
          <w:ilvl w:val="0"/>
          <w:numId w:val="1"/>
        </w:numPr>
        <w:rPr>
          <w:b/>
        </w:rPr>
      </w:pPr>
      <w:r>
        <w:rPr>
          <w:b/>
        </w:rPr>
        <w:t>Literatura</w:t>
      </w:r>
    </w:p>
    <w:p w14:paraId="2605DEC0" w14:textId="77777777" w:rsidR="00CB655D" w:rsidRDefault="00CB655D">
      <w:pPr>
        <w:pStyle w:val="BodyText"/>
      </w:pPr>
      <w:r>
        <w:t>- Andrej Podobnik, Dusan Devetak: BIOLOGIJA 4 in 5- RAZNOLIKOST ZIVIH BITIJ; Ljubljana 2000.</w:t>
      </w:r>
    </w:p>
    <w:sectPr w:rsidR="00CB655D">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C18"/>
    <w:multiLevelType w:val="singleLevel"/>
    <w:tmpl w:val="1F58C810"/>
    <w:lvl w:ilvl="0">
      <w:start w:val="2"/>
      <w:numFmt w:val="bullet"/>
      <w:lvlText w:val="-"/>
      <w:lvlJc w:val="left"/>
      <w:pPr>
        <w:tabs>
          <w:tab w:val="num" w:pos="360"/>
        </w:tabs>
        <w:ind w:left="360" w:hanging="360"/>
      </w:pPr>
      <w:rPr>
        <w:rFonts w:hint="default"/>
      </w:rPr>
    </w:lvl>
  </w:abstractNum>
  <w:abstractNum w:abstractNumId="1" w15:restartNumberingAfterBreak="0">
    <w:nsid w:val="24C67663"/>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3FD"/>
    <w:rsid w:val="000A13FD"/>
    <w:rsid w:val="0037496B"/>
    <w:rsid w:val="003D6172"/>
    <w:rsid w:val="00660DE1"/>
    <w:rsid w:val="00930745"/>
    <w:rsid w:val="0093783F"/>
    <w:rsid w:val="00A041D5"/>
    <w:rsid w:val="00BA3A9F"/>
    <w:rsid w:val="00CB65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A5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paragraph" w:styleId="Heading1">
    <w:name w:val="heading 1"/>
    <w:basedOn w:val="Normal"/>
    <w:next w:val="Normal"/>
    <w:qFormat/>
    <w:rsid w:val="00930745"/>
    <w:pPr>
      <w:keepNext/>
      <w:jc w:val="center"/>
      <w:outlineLvl w:val="0"/>
    </w:pPr>
    <w:rPr>
      <w:b/>
      <w:bCs/>
      <w:sz w:val="4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