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54898" w14:textId="77777777" w:rsidR="003B11D9" w:rsidRDefault="003B11D9" w:rsidP="003844F2">
      <w:pPr>
        <w:jc w:val="center"/>
        <w:rPr>
          <w:rFonts w:ascii="Arial Black" w:hAnsi="Arial Black"/>
          <w:sz w:val="40"/>
        </w:rPr>
      </w:pPr>
      <w:bookmarkStart w:id="0" w:name="_GoBack"/>
      <w:bookmarkEnd w:id="0"/>
    </w:p>
    <w:p w14:paraId="685BC59E" w14:textId="5BDD8A08" w:rsidR="003844F2" w:rsidRDefault="003844F2" w:rsidP="003844F2">
      <w:pPr>
        <w:jc w:val="center"/>
        <w:rPr>
          <w:rFonts w:ascii="Arial Black" w:hAnsi="Arial Black"/>
          <w:sz w:val="40"/>
        </w:rPr>
      </w:pPr>
      <w:r>
        <w:rPr>
          <w:rFonts w:ascii="Arial Black" w:hAnsi="Arial Black"/>
          <w:sz w:val="40"/>
        </w:rPr>
        <w:t>Kemoreceptorji</w:t>
      </w:r>
    </w:p>
    <w:p w14:paraId="44C9D39F" w14:textId="77777777" w:rsidR="003844F2" w:rsidRDefault="003844F2" w:rsidP="003844F2">
      <w:pPr>
        <w:jc w:val="both"/>
        <w:rPr>
          <w:sz w:val="24"/>
        </w:rPr>
      </w:pPr>
    </w:p>
    <w:p w14:paraId="0DC84D30" w14:textId="77777777" w:rsidR="003844F2" w:rsidRDefault="003844F2" w:rsidP="003844F2">
      <w:pPr>
        <w:jc w:val="both"/>
        <w:rPr>
          <w:sz w:val="24"/>
        </w:rPr>
      </w:pPr>
    </w:p>
    <w:p w14:paraId="5845D66B" w14:textId="77777777" w:rsidR="003844F2" w:rsidRDefault="003844F2" w:rsidP="003844F2">
      <w:pPr>
        <w:pStyle w:val="Heading1"/>
      </w:pPr>
      <w:r>
        <w:t>Uvod</w:t>
      </w:r>
    </w:p>
    <w:p w14:paraId="0A3FB89E" w14:textId="77777777" w:rsidR="003844F2" w:rsidRDefault="003844F2" w:rsidP="003844F2">
      <w:pPr>
        <w:jc w:val="both"/>
        <w:rPr>
          <w:b/>
          <w:bCs/>
        </w:rPr>
      </w:pPr>
    </w:p>
    <w:p w14:paraId="499A2E89" w14:textId="77777777" w:rsidR="003F10B3" w:rsidRDefault="003F10B3" w:rsidP="003F10B3">
      <w:pPr>
        <w:jc w:val="both"/>
      </w:pPr>
      <w:r>
        <w:t>Občutek okusa nastane zaradi kemičnih sprememb (ko se v vodi topne snovi raztopijo v slini), ki se zgodijo v ustih. Od okušalnih brstičev, ki so na površini jezika, vodijo posebni živčni končiči, občutljivi na kemične spremembe v ustih. Vsaka sprememba, ki je ustrezna, te končiče vzburi. Kemični dražljaji se prevedejo v električne impulze, ti pa potujejo po živcih v možganske centre za okus, kjer nastajajo zaznave – občutek okusa.</w:t>
      </w:r>
    </w:p>
    <w:p w14:paraId="3AF80CE5" w14:textId="77777777" w:rsidR="003F10B3" w:rsidRDefault="003F10B3" w:rsidP="003F10B3">
      <w:pPr>
        <w:jc w:val="both"/>
      </w:pPr>
    </w:p>
    <w:p w14:paraId="59137FD6" w14:textId="77777777" w:rsidR="003F10B3" w:rsidRDefault="003F10B3" w:rsidP="003F10B3">
      <w:pPr>
        <w:jc w:val="both"/>
      </w:pPr>
      <w:r>
        <w:t xml:space="preserve">Občutek vonja je tudi posledica kemičnih dražljajev. Čutila za voh, ki ležijo v zgornjem delu nosne votline, so po zgradbi in delovanju podobna čutilom za okus, toda z njimi zaznavamo hlapne in v vodi topne snovi. Raztopina, ki nastane, ko se snov raztopi na nosni sluznici, vzburi čutne celice. Kemični dražljaji se prevedejo v električne impulze, ki gredo po živcih v možganske centre za vonj, kjer nastanejo zaznave – občutek vonja. </w:t>
      </w:r>
    </w:p>
    <w:p w14:paraId="5C1C1BFE" w14:textId="77777777" w:rsidR="00FF0FCC" w:rsidRDefault="00FF0FCC" w:rsidP="003F10B3">
      <w:pPr>
        <w:jc w:val="both"/>
      </w:pPr>
    </w:p>
    <w:p w14:paraId="3D6AC4A7" w14:textId="77777777" w:rsidR="00521B8B" w:rsidRDefault="00521B8B" w:rsidP="003F10B3">
      <w:pPr>
        <w:jc w:val="both"/>
      </w:pPr>
      <w:r>
        <w:rPr>
          <w:b/>
        </w:rPr>
        <w:t>Namen</w:t>
      </w:r>
    </w:p>
    <w:p w14:paraId="44070B4A" w14:textId="77777777" w:rsidR="00521B8B" w:rsidRDefault="00521B8B" w:rsidP="003F10B3">
      <w:pPr>
        <w:jc w:val="both"/>
      </w:pPr>
    </w:p>
    <w:p w14:paraId="5D4900CE" w14:textId="77777777" w:rsidR="00A423FE" w:rsidRDefault="00A423FE" w:rsidP="00A423FE">
      <w:pPr>
        <w:numPr>
          <w:ilvl w:val="0"/>
          <w:numId w:val="1"/>
        </w:numPr>
        <w:tabs>
          <w:tab w:val="clear" w:pos="720"/>
          <w:tab w:val="num" w:pos="0"/>
        </w:tabs>
        <w:ind w:left="357" w:hanging="357"/>
        <w:jc w:val="both"/>
      </w:pPr>
      <w:r>
        <w:t>spoznati v čem sta si podobna in v čem se razlikujeta čutilo za vonj in čutilo za okus</w:t>
      </w:r>
    </w:p>
    <w:p w14:paraId="54B0C064" w14:textId="77777777" w:rsidR="00A423FE" w:rsidRDefault="00A423FE" w:rsidP="00A423FE">
      <w:pPr>
        <w:numPr>
          <w:ilvl w:val="0"/>
          <w:numId w:val="1"/>
        </w:numPr>
        <w:tabs>
          <w:tab w:val="clear" w:pos="720"/>
          <w:tab w:val="num" w:pos="0"/>
        </w:tabs>
        <w:ind w:left="357" w:hanging="357"/>
        <w:jc w:val="both"/>
      </w:pPr>
      <w:r>
        <w:t>spoznati zakonitosti delovanja obeh čutil</w:t>
      </w:r>
    </w:p>
    <w:p w14:paraId="1BD1A934" w14:textId="77777777" w:rsidR="00621FAB" w:rsidRDefault="00A423FE" w:rsidP="00621FAB">
      <w:pPr>
        <w:numPr>
          <w:ilvl w:val="0"/>
          <w:numId w:val="1"/>
        </w:numPr>
        <w:tabs>
          <w:tab w:val="clear" w:pos="720"/>
          <w:tab w:val="num" w:pos="0"/>
        </w:tabs>
        <w:ind w:left="357" w:hanging="357"/>
        <w:jc w:val="both"/>
      </w:pPr>
      <w:r>
        <w:t>spoznati in razumeti pomen jakosti in vrste dražljaja ter zanesljivost receptorjev po nekem času (čutna adaptacija)</w:t>
      </w:r>
    </w:p>
    <w:p w14:paraId="5554E071" w14:textId="77777777" w:rsidR="00455E3E" w:rsidRDefault="00455E3E" w:rsidP="00455E3E">
      <w:pPr>
        <w:numPr>
          <w:ilvl w:val="0"/>
          <w:numId w:val="1"/>
        </w:numPr>
        <w:tabs>
          <w:tab w:val="clear" w:pos="720"/>
          <w:tab w:val="num" w:pos="0"/>
        </w:tabs>
        <w:ind w:left="357" w:hanging="357"/>
        <w:jc w:val="both"/>
      </w:pPr>
      <w:r>
        <w:t>ugotoviti ali okušamo neraztopljene snovi, poskušati locirati zgostitve okušalnih čutnic za različne okuse</w:t>
      </w:r>
    </w:p>
    <w:p w14:paraId="343343DD" w14:textId="77777777" w:rsidR="00621FAB" w:rsidRDefault="00621FAB" w:rsidP="00621FAB">
      <w:pPr>
        <w:jc w:val="both"/>
      </w:pPr>
    </w:p>
    <w:p w14:paraId="2DBF55F2" w14:textId="77777777" w:rsidR="00621FAB" w:rsidRDefault="00621FAB" w:rsidP="00621FAB">
      <w:pPr>
        <w:jc w:val="both"/>
      </w:pPr>
      <w:r>
        <w:rPr>
          <w:b/>
        </w:rPr>
        <w:t>Metode</w:t>
      </w:r>
    </w:p>
    <w:p w14:paraId="2050E488" w14:textId="77777777" w:rsidR="00621FAB" w:rsidRDefault="00621FAB" w:rsidP="00621FAB">
      <w:pPr>
        <w:jc w:val="both"/>
      </w:pPr>
    </w:p>
    <w:p w14:paraId="5A5BF10C" w14:textId="77777777" w:rsidR="00BD280B" w:rsidRDefault="00621FAB" w:rsidP="00621FAB">
      <w:pPr>
        <w:jc w:val="both"/>
      </w:pPr>
      <w:r>
        <w:t xml:space="preserve">Glej </w:t>
      </w:r>
      <w:r>
        <w:rPr>
          <w:i/>
        </w:rPr>
        <w:t>Navodila za laboratorijsko delo</w:t>
      </w:r>
      <w:r>
        <w:t xml:space="preserve"> od strani 41 do 42.</w:t>
      </w:r>
    </w:p>
    <w:p w14:paraId="143B49AE" w14:textId="77777777" w:rsidR="00BD280B" w:rsidRDefault="00BD280B" w:rsidP="00621FAB">
      <w:pPr>
        <w:jc w:val="both"/>
      </w:pPr>
      <w:r>
        <w:br w:type="page"/>
      </w:r>
      <w:r>
        <w:rPr>
          <w:b/>
        </w:rPr>
        <w:lastRenderedPageBreak/>
        <w:t>Rezultati</w:t>
      </w:r>
    </w:p>
    <w:p w14:paraId="41865667" w14:textId="77777777" w:rsidR="00BD280B" w:rsidRDefault="00BD280B" w:rsidP="00621FAB">
      <w:pPr>
        <w:jc w:val="both"/>
      </w:pPr>
    </w:p>
    <w:p w14:paraId="59AD7E1D" w14:textId="77777777" w:rsidR="00BD280B" w:rsidRDefault="00D44D67" w:rsidP="00621FAB">
      <w:pPr>
        <w:jc w:val="both"/>
      </w:pPr>
      <w:r>
        <w:t>1. Okus neraztopljenih snovi</w:t>
      </w:r>
    </w:p>
    <w:p w14:paraId="6FCC106C" w14:textId="77777777" w:rsidR="00D44D67" w:rsidRDefault="00D44D67" w:rsidP="00D44D67">
      <w:pPr>
        <w:ind w:firstLine="360"/>
        <w:jc w:val="both"/>
      </w:pPr>
    </w:p>
    <w:p w14:paraId="029F030A" w14:textId="77777777" w:rsidR="008B416C" w:rsidRDefault="008B416C" w:rsidP="0059772B">
      <w:pPr>
        <w:ind w:left="360"/>
        <w:jc w:val="both"/>
      </w:pPr>
      <w:r>
        <w:t>Ob tem, ko imamo zrnca sladkorja na suhem jeziku, ne okušamo nič. Občutimo le dotik zrnc na jezik. Podobno je z drugimi snovmi.</w:t>
      </w:r>
    </w:p>
    <w:p w14:paraId="2944373A" w14:textId="77777777" w:rsidR="008B416C" w:rsidRDefault="008B416C" w:rsidP="0059772B">
      <w:pPr>
        <w:ind w:left="360"/>
        <w:jc w:val="both"/>
      </w:pPr>
      <w:r>
        <w:t>Če imamo nosnici ob okušanju neke snovi odprte, veliko hitreje in bolje razpoznamo, kaj imamo na jeziku, kot pa če sta nosnici zaprti.</w:t>
      </w:r>
    </w:p>
    <w:p w14:paraId="39078670" w14:textId="77777777" w:rsidR="0059772B" w:rsidRDefault="0059772B" w:rsidP="00180A6A">
      <w:pPr>
        <w:jc w:val="both"/>
      </w:pPr>
    </w:p>
    <w:p w14:paraId="70BD4369" w14:textId="77777777" w:rsidR="0059772B" w:rsidRDefault="0059772B" w:rsidP="00180A6A">
      <w:pPr>
        <w:jc w:val="both"/>
      </w:pPr>
      <w:r>
        <w:t>2. Lokacija čutnic na jeziku za zaznavanje različnih vrst okusa</w:t>
      </w:r>
    </w:p>
    <w:p w14:paraId="27D01359" w14:textId="77777777" w:rsidR="0059772B" w:rsidRDefault="0059772B" w:rsidP="00F7088D">
      <w:pPr>
        <w:jc w:val="both"/>
      </w:pPr>
    </w:p>
    <w:p w14:paraId="74830F13" w14:textId="175D5F63" w:rsidR="00F7088D" w:rsidRDefault="00F7088D" w:rsidP="00206D9B">
      <w:pPr>
        <w:jc w:val="both"/>
      </w:pPr>
    </w:p>
    <w:p w14:paraId="7421161A" w14:textId="3459EC0A" w:rsidR="00D03600" w:rsidRDefault="00D03600" w:rsidP="00206D9B">
      <w:pPr>
        <w:jc w:val="both"/>
      </w:pPr>
    </w:p>
    <w:p w14:paraId="78C11A90" w14:textId="23250BD6" w:rsidR="00D03600" w:rsidRDefault="00D03600" w:rsidP="00206D9B">
      <w:pPr>
        <w:jc w:val="both"/>
      </w:pPr>
    </w:p>
    <w:p w14:paraId="5F43DE97" w14:textId="49BF3C7E" w:rsidR="00D03600" w:rsidRDefault="00D03600" w:rsidP="00206D9B">
      <w:pPr>
        <w:jc w:val="both"/>
      </w:pPr>
    </w:p>
    <w:p w14:paraId="48808E5B" w14:textId="06E21812" w:rsidR="00D03600" w:rsidRDefault="00D03600" w:rsidP="00206D9B">
      <w:pPr>
        <w:jc w:val="both"/>
      </w:pPr>
    </w:p>
    <w:p w14:paraId="2AC22A4E" w14:textId="75DDBBEA" w:rsidR="00D03600" w:rsidRDefault="00D03600" w:rsidP="00206D9B">
      <w:pPr>
        <w:jc w:val="both"/>
      </w:pPr>
    </w:p>
    <w:p w14:paraId="567EE815" w14:textId="5D9A5301" w:rsidR="00D03600" w:rsidRDefault="00D03600" w:rsidP="00206D9B">
      <w:pPr>
        <w:jc w:val="both"/>
      </w:pPr>
    </w:p>
    <w:p w14:paraId="046F445A" w14:textId="3B9DF541" w:rsidR="00D03600" w:rsidRDefault="00D03600" w:rsidP="00206D9B">
      <w:pPr>
        <w:jc w:val="both"/>
      </w:pPr>
    </w:p>
    <w:p w14:paraId="35D6A02C" w14:textId="05CB7E7F" w:rsidR="00D03600" w:rsidRDefault="00D03600" w:rsidP="00206D9B">
      <w:pPr>
        <w:jc w:val="both"/>
      </w:pPr>
    </w:p>
    <w:p w14:paraId="6AC07EB0" w14:textId="75C91ABF" w:rsidR="00D03600" w:rsidRDefault="00D03600" w:rsidP="00206D9B">
      <w:pPr>
        <w:jc w:val="both"/>
      </w:pPr>
    </w:p>
    <w:p w14:paraId="3F141868" w14:textId="00F933EA" w:rsidR="00D03600" w:rsidRDefault="00D03600" w:rsidP="00206D9B">
      <w:pPr>
        <w:jc w:val="both"/>
      </w:pPr>
    </w:p>
    <w:p w14:paraId="73493B39" w14:textId="5B71E1C8" w:rsidR="00D03600" w:rsidRDefault="00D03600" w:rsidP="00206D9B">
      <w:pPr>
        <w:jc w:val="both"/>
      </w:pPr>
    </w:p>
    <w:p w14:paraId="3AEFA693" w14:textId="16D624FB" w:rsidR="00D03600" w:rsidRDefault="00D03600" w:rsidP="00206D9B">
      <w:pPr>
        <w:jc w:val="both"/>
      </w:pPr>
    </w:p>
    <w:p w14:paraId="305560EA" w14:textId="5673BF88" w:rsidR="00D03600" w:rsidRDefault="00D03600" w:rsidP="00206D9B">
      <w:pPr>
        <w:jc w:val="both"/>
      </w:pPr>
    </w:p>
    <w:p w14:paraId="3187AC09" w14:textId="3CDF90C3" w:rsidR="00D03600" w:rsidRDefault="00D03600" w:rsidP="00206D9B">
      <w:pPr>
        <w:jc w:val="both"/>
      </w:pPr>
    </w:p>
    <w:p w14:paraId="67C16B38" w14:textId="023B3025" w:rsidR="00D03600" w:rsidRDefault="00D03600" w:rsidP="00206D9B">
      <w:pPr>
        <w:jc w:val="both"/>
      </w:pPr>
    </w:p>
    <w:p w14:paraId="33B2A507" w14:textId="6771D01D" w:rsidR="00D03600" w:rsidRDefault="00D03600" w:rsidP="00206D9B">
      <w:pPr>
        <w:jc w:val="both"/>
      </w:pPr>
    </w:p>
    <w:p w14:paraId="1449DFD3" w14:textId="711C5BB8" w:rsidR="00D03600" w:rsidRDefault="00D03600" w:rsidP="00206D9B">
      <w:pPr>
        <w:jc w:val="both"/>
      </w:pPr>
    </w:p>
    <w:p w14:paraId="67F79947" w14:textId="20C02750" w:rsidR="00D03600" w:rsidRDefault="00D03600" w:rsidP="00206D9B">
      <w:pPr>
        <w:jc w:val="both"/>
      </w:pPr>
    </w:p>
    <w:p w14:paraId="06B0FED5" w14:textId="4F2CF1E4" w:rsidR="00D03600" w:rsidRDefault="00D03600" w:rsidP="00206D9B">
      <w:pPr>
        <w:jc w:val="both"/>
      </w:pPr>
    </w:p>
    <w:p w14:paraId="0A48A0BB" w14:textId="77777777" w:rsidR="00D03600" w:rsidRDefault="00D03600" w:rsidP="00206D9B">
      <w:pPr>
        <w:jc w:val="both"/>
      </w:pPr>
    </w:p>
    <w:p w14:paraId="62E6529F" w14:textId="77777777" w:rsidR="00206D9B" w:rsidRDefault="00753D23" w:rsidP="00206D9B">
      <w:pPr>
        <w:jc w:val="both"/>
      </w:pPr>
      <w:r>
        <w:t>3. Vzdražni prag za okus</w:t>
      </w:r>
    </w:p>
    <w:p w14:paraId="38FC8E61" w14:textId="77777777" w:rsidR="00753D23" w:rsidRDefault="00753D23" w:rsidP="00206D9B">
      <w:pPr>
        <w:jc w:val="both"/>
      </w:pPr>
    </w:p>
    <w:p w14:paraId="4BEEF94D" w14:textId="77777777" w:rsidR="00753D23" w:rsidRDefault="00822E1B" w:rsidP="00822E1B">
      <w:pPr>
        <w:numPr>
          <w:ilvl w:val="0"/>
          <w:numId w:val="2"/>
        </w:numPr>
        <w:jc w:val="both"/>
      </w:pPr>
      <w:r>
        <w:t>zaznavanje sladkosti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2644"/>
      </w:tblGrid>
      <w:tr w:rsidR="00822E1B" w14:paraId="49D0A999" w14:textId="77777777" w:rsidTr="00083865">
        <w:trPr>
          <w:jc w:val="center"/>
        </w:trPr>
        <w:tc>
          <w:tcPr>
            <w:tcW w:w="0" w:type="auto"/>
            <w:shd w:val="clear" w:color="auto" w:fill="auto"/>
          </w:tcPr>
          <w:p w14:paraId="29DEE58D" w14:textId="77777777" w:rsidR="00822E1B" w:rsidRPr="00083865" w:rsidRDefault="00822E1B" w:rsidP="00083865">
            <w:pPr>
              <w:jc w:val="center"/>
              <w:rPr>
                <w:b/>
              </w:rPr>
            </w:pPr>
            <w:r w:rsidRPr="00083865">
              <w:rPr>
                <w:b/>
              </w:rPr>
              <w:t>Koncentracija sladkorne raztopine</w:t>
            </w:r>
          </w:p>
        </w:tc>
        <w:tc>
          <w:tcPr>
            <w:tcW w:w="0" w:type="auto"/>
            <w:shd w:val="clear" w:color="auto" w:fill="auto"/>
          </w:tcPr>
          <w:p w14:paraId="67191F3F" w14:textId="77777777" w:rsidR="00822E1B" w:rsidRPr="00083865" w:rsidRDefault="00822E1B" w:rsidP="00083865">
            <w:pPr>
              <w:jc w:val="center"/>
              <w:rPr>
                <w:b/>
              </w:rPr>
            </w:pPr>
            <w:r w:rsidRPr="00083865">
              <w:rPr>
                <w:b/>
              </w:rPr>
              <w:t>Zaznavate sladkor</w:t>
            </w:r>
          </w:p>
        </w:tc>
      </w:tr>
      <w:tr w:rsidR="00822E1B" w14:paraId="092BDBAA" w14:textId="77777777" w:rsidTr="00083865">
        <w:trPr>
          <w:jc w:val="center"/>
        </w:trPr>
        <w:tc>
          <w:tcPr>
            <w:tcW w:w="0" w:type="auto"/>
            <w:shd w:val="clear" w:color="auto" w:fill="auto"/>
          </w:tcPr>
          <w:p w14:paraId="65073A22" w14:textId="77777777" w:rsidR="00822E1B" w:rsidRDefault="00E32EAB" w:rsidP="00083865">
            <w:pPr>
              <w:jc w:val="center"/>
            </w:pPr>
            <w:smartTag w:uri="urn:schemas-microsoft-com:office:smarttags" w:element="metricconverter">
              <w:smartTagPr>
                <w:attr w:name="ProductID" w:val="0,001 M"/>
              </w:smartTagPr>
              <w:r>
                <w:t>0,001 M</w:t>
              </w:r>
            </w:smartTag>
          </w:p>
        </w:tc>
        <w:tc>
          <w:tcPr>
            <w:tcW w:w="0" w:type="auto"/>
            <w:shd w:val="clear" w:color="auto" w:fill="auto"/>
          </w:tcPr>
          <w:p w14:paraId="614E053D" w14:textId="77777777" w:rsidR="00822E1B" w:rsidRDefault="00E32EAB" w:rsidP="00083865">
            <w:pPr>
              <w:jc w:val="center"/>
            </w:pPr>
            <w:r>
              <w:t>ne</w:t>
            </w:r>
          </w:p>
        </w:tc>
      </w:tr>
      <w:tr w:rsidR="00822E1B" w14:paraId="08213905" w14:textId="77777777" w:rsidTr="00083865">
        <w:trPr>
          <w:jc w:val="center"/>
        </w:trPr>
        <w:tc>
          <w:tcPr>
            <w:tcW w:w="0" w:type="auto"/>
            <w:shd w:val="clear" w:color="auto" w:fill="auto"/>
          </w:tcPr>
          <w:p w14:paraId="7296CED0" w14:textId="77777777" w:rsidR="00822E1B" w:rsidRDefault="00E32EAB" w:rsidP="00083865">
            <w:pPr>
              <w:jc w:val="center"/>
            </w:pPr>
            <w:smartTag w:uri="urn:schemas-microsoft-com:office:smarttags" w:element="metricconverter">
              <w:smartTagPr>
                <w:attr w:name="ProductID" w:val="0,005 M"/>
              </w:smartTagPr>
              <w:r>
                <w:t>0,005 M</w:t>
              </w:r>
            </w:smartTag>
          </w:p>
        </w:tc>
        <w:tc>
          <w:tcPr>
            <w:tcW w:w="0" w:type="auto"/>
            <w:shd w:val="clear" w:color="auto" w:fill="auto"/>
          </w:tcPr>
          <w:p w14:paraId="1E88FB66" w14:textId="77777777" w:rsidR="00822E1B" w:rsidRDefault="00E32EAB" w:rsidP="00083865">
            <w:pPr>
              <w:jc w:val="center"/>
            </w:pPr>
            <w:r>
              <w:t>ne</w:t>
            </w:r>
          </w:p>
        </w:tc>
      </w:tr>
      <w:tr w:rsidR="00822E1B" w14:paraId="7B95B9D3" w14:textId="77777777" w:rsidTr="00083865">
        <w:trPr>
          <w:jc w:val="center"/>
        </w:trPr>
        <w:tc>
          <w:tcPr>
            <w:tcW w:w="0" w:type="auto"/>
            <w:shd w:val="clear" w:color="auto" w:fill="auto"/>
          </w:tcPr>
          <w:p w14:paraId="7D953ACC" w14:textId="77777777" w:rsidR="00822E1B" w:rsidRDefault="00E32EAB" w:rsidP="00083865">
            <w:pPr>
              <w:jc w:val="center"/>
            </w:pPr>
            <w:smartTag w:uri="urn:schemas-microsoft-com:office:smarttags" w:element="metricconverter">
              <w:smartTagPr>
                <w:attr w:name="ProductID" w:val="0,01 M"/>
              </w:smartTagPr>
              <w:r>
                <w:t>0,01 M</w:t>
              </w:r>
            </w:smartTag>
          </w:p>
        </w:tc>
        <w:tc>
          <w:tcPr>
            <w:tcW w:w="0" w:type="auto"/>
            <w:shd w:val="clear" w:color="auto" w:fill="auto"/>
          </w:tcPr>
          <w:p w14:paraId="60FD96F9" w14:textId="77777777" w:rsidR="00822E1B" w:rsidRDefault="00E32EAB" w:rsidP="00083865">
            <w:pPr>
              <w:jc w:val="center"/>
            </w:pPr>
            <w:r>
              <w:t>ne</w:t>
            </w:r>
          </w:p>
        </w:tc>
      </w:tr>
      <w:tr w:rsidR="00822E1B" w14:paraId="75FA3487" w14:textId="77777777" w:rsidTr="00083865">
        <w:trPr>
          <w:jc w:val="center"/>
        </w:trPr>
        <w:tc>
          <w:tcPr>
            <w:tcW w:w="0" w:type="auto"/>
            <w:shd w:val="clear" w:color="auto" w:fill="auto"/>
          </w:tcPr>
          <w:p w14:paraId="3A06DF05" w14:textId="77777777" w:rsidR="00822E1B" w:rsidRDefault="00E32EAB" w:rsidP="00083865">
            <w:pPr>
              <w:jc w:val="center"/>
            </w:pPr>
            <w:smartTag w:uri="urn:schemas-microsoft-com:office:smarttags" w:element="metricconverter">
              <w:smartTagPr>
                <w:attr w:name="ProductID" w:val="0,1 M"/>
              </w:smartTagPr>
              <w:r>
                <w:t>0,1 M</w:t>
              </w:r>
            </w:smartTag>
          </w:p>
        </w:tc>
        <w:tc>
          <w:tcPr>
            <w:tcW w:w="0" w:type="auto"/>
            <w:shd w:val="clear" w:color="auto" w:fill="auto"/>
          </w:tcPr>
          <w:p w14:paraId="34A696F6" w14:textId="77777777" w:rsidR="00822E1B" w:rsidRDefault="00E32EAB" w:rsidP="00083865">
            <w:pPr>
              <w:jc w:val="center"/>
            </w:pPr>
            <w:r>
              <w:t>da</w:t>
            </w:r>
          </w:p>
        </w:tc>
      </w:tr>
      <w:tr w:rsidR="00822E1B" w14:paraId="56A4BBAE" w14:textId="77777777" w:rsidTr="00083865">
        <w:trPr>
          <w:jc w:val="center"/>
        </w:trPr>
        <w:tc>
          <w:tcPr>
            <w:tcW w:w="0" w:type="auto"/>
            <w:shd w:val="clear" w:color="auto" w:fill="auto"/>
          </w:tcPr>
          <w:p w14:paraId="1ABE2518" w14:textId="77777777" w:rsidR="00822E1B" w:rsidRDefault="00E32EAB" w:rsidP="00083865">
            <w:pPr>
              <w:jc w:val="center"/>
            </w:pPr>
            <w:smartTag w:uri="urn:schemas-microsoft-com:office:smarttags" w:element="metricconverter">
              <w:smartTagPr>
                <w:attr w:name="ProductID" w:val="1 M"/>
              </w:smartTagPr>
              <w:r>
                <w:t>1 M</w:t>
              </w:r>
            </w:smartTag>
          </w:p>
        </w:tc>
        <w:tc>
          <w:tcPr>
            <w:tcW w:w="0" w:type="auto"/>
            <w:shd w:val="clear" w:color="auto" w:fill="auto"/>
          </w:tcPr>
          <w:p w14:paraId="0BA1BB8D" w14:textId="77777777" w:rsidR="00822E1B" w:rsidRDefault="00E32EAB" w:rsidP="00083865">
            <w:pPr>
              <w:jc w:val="center"/>
            </w:pPr>
            <w:r>
              <w:t>da</w:t>
            </w:r>
          </w:p>
        </w:tc>
      </w:tr>
    </w:tbl>
    <w:p w14:paraId="08C0E98A" w14:textId="77777777" w:rsidR="00BB1DA6" w:rsidRDefault="00BB1DA6" w:rsidP="00BB1DA6">
      <w:pPr>
        <w:ind w:left="360"/>
        <w:jc w:val="both"/>
      </w:pPr>
    </w:p>
    <w:p w14:paraId="6BCC191D" w14:textId="77777777" w:rsidR="00822E1B" w:rsidRDefault="00BB1DA6" w:rsidP="00BB1DA6">
      <w:pPr>
        <w:ind w:left="360"/>
        <w:jc w:val="both"/>
      </w:pPr>
      <w:r>
        <w:br w:type="page"/>
      </w:r>
      <w:r>
        <w:lastRenderedPageBreak/>
        <w:t>b) zaznavanje slanosti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2380"/>
      </w:tblGrid>
      <w:tr w:rsidR="00BB1DA6" w14:paraId="478B7E9A" w14:textId="77777777" w:rsidTr="00083865">
        <w:trPr>
          <w:jc w:val="center"/>
        </w:trPr>
        <w:tc>
          <w:tcPr>
            <w:tcW w:w="0" w:type="auto"/>
            <w:shd w:val="clear" w:color="auto" w:fill="auto"/>
          </w:tcPr>
          <w:p w14:paraId="0FEC6067" w14:textId="77777777" w:rsidR="00BB1DA6" w:rsidRPr="00083865" w:rsidRDefault="00BB1DA6" w:rsidP="00083865">
            <w:pPr>
              <w:jc w:val="center"/>
              <w:rPr>
                <w:b/>
              </w:rPr>
            </w:pPr>
            <w:r w:rsidRPr="00083865">
              <w:rPr>
                <w:b/>
              </w:rPr>
              <w:t>Koncentracija solne raztopine</w:t>
            </w:r>
          </w:p>
        </w:tc>
        <w:tc>
          <w:tcPr>
            <w:tcW w:w="0" w:type="auto"/>
            <w:shd w:val="clear" w:color="auto" w:fill="auto"/>
          </w:tcPr>
          <w:p w14:paraId="7A3B146C" w14:textId="77777777" w:rsidR="00BB1DA6" w:rsidRPr="00083865" w:rsidRDefault="00BB1DA6" w:rsidP="00083865">
            <w:pPr>
              <w:jc w:val="center"/>
              <w:rPr>
                <w:b/>
              </w:rPr>
            </w:pPr>
            <w:r w:rsidRPr="00083865">
              <w:rPr>
                <w:b/>
              </w:rPr>
              <w:t>Zaznavate slano</w:t>
            </w:r>
          </w:p>
        </w:tc>
      </w:tr>
      <w:tr w:rsidR="00BB1DA6" w14:paraId="7ED0AAFF" w14:textId="77777777" w:rsidTr="00083865">
        <w:trPr>
          <w:trHeight w:val="380"/>
          <w:jc w:val="center"/>
        </w:trPr>
        <w:tc>
          <w:tcPr>
            <w:tcW w:w="0" w:type="auto"/>
            <w:shd w:val="clear" w:color="auto" w:fill="auto"/>
          </w:tcPr>
          <w:p w14:paraId="4D84AE17" w14:textId="77777777" w:rsidR="00BB1DA6" w:rsidRDefault="00BB1DA6" w:rsidP="00083865">
            <w:pPr>
              <w:jc w:val="center"/>
            </w:pPr>
            <w:smartTag w:uri="urn:schemas-microsoft-com:office:smarttags" w:element="metricconverter">
              <w:smartTagPr>
                <w:attr w:name="ProductID" w:val="0,005 M"/>
              </w:smartTagPr>
              <w:r>
                <w:t>0,005 M</w:t>
              </w:r>
            </w:smartTag>
          </w:p>
        </w:tc>
        <w:tc>
          <w:tcPr>
            <w:tcW w:w="0" w:type="auto"/>
            <w:shd w:val="clear" w:color="auto" w:fill="auto"/>
          </w:tcPr>
          <w:p w14:paraId="76178184" w14:textId="77777777" w:rsidR="00BB1DA6" w:rsidRDefault="00BB1DA6" w:rsidP="00083865">
            <w:pPr>
              <w:jc w:val="center"/>
            </w:pPr>
            <w:r>
              <w:t>ne</w:t>
            </w:r>
          </w:p>
        </w:tc>
      </w:tr>
      <w:tr w:rsidR="00BB1DA6" w14:paraId="40C96EF5" w14:textId="77777777" w:rsidTr="00083865">
        <w:trPr>
          <w:trHeight w:val="380"/>
          <w:jc w:val="center"/>
        </w:trPr>
        <w:tc>
          <w:tcPr>
            <w:tcW w:w="0" w:type="auto"/>
            <w:shd w:val="clear" w:color="auto" w:fill="auto"/>
          </w:tcPr>
          <w:p w14:paraId="263CF731" w14:textId="77777777" w:rsidR="00BB1DA6" w:rsidRDefault="00BB1DA6" w:rsidP="00083865">
            <w:pPr>
              <w:jc w:val="center"/>
            </w:pPr>
            <w:smartTag w:uri="urn:schemas-microsoft-com:office:smarttags" w:element="metricconverter">
              <w:smartTagPr>
                <w:attr w:name="ProductID" w:val="0,01 M"/>
              </w:smartTagPr>
              <w:r>
                <w:t>0,01 M</w:t>
              </w:r>
            </w:smartTag>
          </w:p>
        </w:tc>
        <w:tc>
          <w:tcPr>
            <w:tcW w:w="0" w:type="auto"/>
            <w:shd w:val="clear" w:color="auto" w:fill="auto"/>
          </w:tcPr>
          <w:p w14:paraId="0BE3E4B3" w14:textId="77777777" w:rsidR="00BB1DA6" w:rsidRDefault="00BB1DA6" w:rsidP="00083865">
            <w:pPr>
              <w:jc w:val="center"/>
            </w:pPr>
            <w:r>
              <w:t>ne</w:t>
            </w:r>
          </w:p>
        </w:tc>
      </w:tr>
      <w:tr w:rsidR="00BB1DA6" w14:paraId="11854F7A" w14:textId="77777777" w:rsidTr="00083865">
        <w:trPr>
          <w:trHeight w:val="380"/>
          <w:jc w:val="center"/>
        </w:trPr>
        <w:tc>
          <w:tcPr>
            <w:tcW w:w="0" w:type="auto"/>
            <w:shd w:val="clear" w:color="auto" w:fill="auto"/>
          </w:tcPr>
          <w:p w14:paraId="0AB2953C" w14:textId="77777777" w:rsidR="00BB1DA6" w:rsidRDefault="00BB1DA6" w:rsidP="00083865">
            <w:pPr>
              <w:jc w:val="center"/>
            </w:pPr>
            <w:smartTag w:uri="urn:schemas-microsoft-com:office:smarttags" w:element="metricconverter">
              <w:smartTagPr>
                <w:attr w:name="ProductID" w:val="0,03 M"/>
              </w:smartTagPr>
              <w:r>
                <w:t>0,03 M</w:t>
              </w:r>
            </w:smartTag>
          </w:p>
        </w:tc>
        <w:tc>
          <w:tcPr>
            <w:tcW w:w="0" w:type="auto"/>
            <w:shd w:val="clear" w:color="auto" w:fill="auto"/>
          </w:tcPr>
          <w:p w14:paraId="0013C550" w14:textId="77777777" w:rsidR="00BB1DA6" w:rsidRDefault="00BB1DA6" w:rsidP="00083865">
            <w:pPr>
              <w:jc w:val="center"/>
            </w:pPr>
            <w:r>
              <w:t>da</w:t>
            </w:r>
          </w:p>
        </w:tc>
      </w:tr>
      <w:tr w:rsidR="008D1BAC" w14:paraId="2D37796C" w14:textId="77777777" w:rsidTr="00083865">
        <w:trPr>
          <w:trHeight w:val="380"/>
          <w:jc w:val="center"/>
        </w:trPr>
        <w:tc>
          <w:tcPr>
            <w:tcW w:w="0" w:type="auto"/>
            <w:shd w:val="clear" w:color="auto" w:fill="auto"/>
          </w:tcPr>
          <w:p w14:paraId="4246C4C0" w14:textId="77777777" w:rsidR="008D1BAC" w:rsidRDefault="008D1BAC" w:rsidP="00083865">
            <w:pPr>
              <w:jc w:val="center"/>
            </w:pPr>
            <w:smartTag w:uri="urn:schemas-microsoft-com:office:smarttags" w:element="metricconverter">
              <w:smartTagPr>
                <w:attr w:name="ProductID" w:val="0,05 M"/>
              </w:smartTagPr>
              <w:r>
                <w:t>0,05 M</w:t>
              </w:r>
            </w:smartTag>
          </w:p>
        </w:tc>
        <w:tc>
          <w:tcPr>
            <w:tcW w:w="0" w:type="auto"/>
            <w:shd w:val="clear" w:color="auto" w:fill="auto"/>
          </w:tcPr>
          <w:p w14:paraId="2FF6E18C" w14:textId="77777777" w:rsidR="008D1BAC" w:rsidRDefault="008D1BAC" w:rsidP="00083865">
            <w:pPr>
              <w:jc w:val="center"/>
            </w:pPr>
            <w:r>
              <w:t>da</w:t>
            </w:r>
          </w:p>
        </w:tc>
      </w:tr>
      <w:tr w:rsidR="008D1BAC" w14:paraId="700A6A66" w14:textId="77777777" w:rsidTr="00083865">
        <w:trPr>
          <w:trHeight w:val="380"/>
          <w:jc w:val="center"/>
        </w:trPr>
        <w:tc>
          <w:tcPr>
            <w:tcW w:w="0" w:type="auto"/>
            <w:shd w:val="clear" w:color="auto" w:fill="auto"/>
          </w:tcPr>
          <w:p w14:paraId="4439FB9A" w14:textId="77777777" w:rsidR="008D1BAC" w:rsidRDefault="008D1BAC" w:rsidP="00083865">
            <w:pPr>
              <w:jc w:val="center"/>
            </w:pPr>
            <w:smartTag w:uri="urn:schemas-microsoft-com:office:smarttags" w:element="metricconverter">
              <w:smartTagPr>
                <w:attr w:name="ProductID" w:val="0,08 M"/>
              </w:smartTagPr>
              <w:r>
                <w:t>0,08 M</w:t>
              </w:r>
            </w:smartTag>
          </w:p>
        </w:tc>
        <w:tc>
          <w:tcPr>
            <w:tcW w:w="0" w:type="auto"/>
            <w:shd w:val="clear" w:color="auto" w:fill="auto"/>
          </w:tcPr>
          <w:p w14:paraId="7F7614D7" w14:textId="77777777" w:rsidR="008D1BAC" w:rsidRDefault="008D1BAC" w:rsidP="00083865">
            <w:pPr>
              <w:jc w:val="center"/>
            </w:pPr>
            <w:r>
              <w:t>da</w:t>
            </w:r>
          </w:p>
        </w:tc>
      </w:tr>
      <w:tr w:rsidR="00BB1DA6" w14:paraId="4C60608D" w14:textId="77777777" w:rsidTr="00083865">
        <w:trPr>
          <w:trHeight w:val="380"/>
          <w:jc w:val="center"/>
        </w:trPr>
        <w:tc>
          <w:tcPr>
            <w:tcW w:w="0" w:type="auto"/>
            <w:shd w:val="clear" w:color="auto" w:fill="auto"/>
          </w:tcPr>
          <w:p w14:paraId="5AA0B347" w14:textId="77777777" w:rsidR="00BB1DA6" w:rsidRDefault="00BB1DA6" w:rsidP="00083865">
            <w:pPr>
              <w:jc w:val="center"/>
            </w:pPr>
            <w:smartTag w:uri="urn:schemas-microsoft-com:office:smarttags" w:element="metricconverter">
              <w:smartTagPr>
                <w:attr w:name="ProductID" w:val="0,1 M"/>
              </w:smartTagPr>
              <w:r>
                <w:t>0,1 M</w:t>
              </w:r>
            </w:smartTag>
          </w:p>
        </w:tc>
        <w:tc>
          <w:tcPr>
            <w:tcW w:w="0" w:type="auto"/>
            <w:shd w:val="clear" w:color="auto" w:fill="auto"/>
          </w:tcPr>
          <w:p w14:paraId="620A9E1B" w14:textId="77777777" w:rsidR="00BB1DA6" w:rsidRDefault="00BB1DA6" w:rsidP="00083865">
            <w:pPr>
              <w:jc w:val="center"/>
            </w:pPr>
            <w:r>
              <w:t>da</w:t>
            </w:r>
          </w:p>
        </w:tc>
      </w:tr>
    </w:tbl>
    <w:p w14:paraId="2864ECE5" w14:textId="77777777" w:rsidR="00BB1DA6" w:rsidRDefault="00BB1DA6" w:rsidP="00BB1DA6">
      <w:pPr>
        <w:ind w:left="360"/>
        <w:jc w:val="both"/>
      </w:pPr>
    </w:p>
    <w:p w14:paraId="42E0E7B4" w14:textId="77777777" w:rsidR="00312276" w:rsidRDefault="00312276" w:rsidP="00BB1DA6">
      <w:pPr>
        <w:ind w:left="360"/>
        <w:jc w:val="both"/>
      </w:pPr>
      <w:r>
        <w:t>c) prepoznavanje sestavljenih okusov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2457"/>
        <w:gridCol w:w="1555"/>
        <w:gridCol w:w="2932"/>
      </w:tblGrid>
      <w:tr w:rsidR="00312276" w14:paraId="0C441193" w14:textId="77777777" w:rsidTr="00083865">
        <w:trPr>
          <w:jc w:val="center"/>
        </w:trPr>
        <w:tc>
          <w:tcPr>
            <w:tcW w:w="0" w:type="auto"/>
            <w:shd w:val="clear" w:color="auto" w:fill="auto"/>
          </w:tcPr>
          <w:p w14:paraId="4925CE6A" w14:textId="77777777" w:rsidR="00312276" w:rsidRPr="00083865" w:rsidRDefault="00312276" w:rsidP="00083865">
            <w:pPr>
              <w:jc w:val="center"/>
              <w:rPr>
                <w:b/>
              </w:rPr>
            </w:pPr>
          </w:p>
        </w:tc>
        <w:tc>
          <w:tcPr>
            <w:tcW w:w="0" w:type="auto"/>
            <w:shd w:val="clear" w:color="auto" w:fill="auto"/>
          </w:tcPr>
          <w:p w14:paraId="4A6C932C" w14:textId="77777777" w:rsidR="00312276" w:rsidRPr="00083865" w:rsidRDefault="00312276" w:rsidP="00312276">
            <w:pPr>
              <w:rPr>
                <w:b/>
              </w:rPr>
            </w:pPr>
            <w:r w:rsidRPr="00083865">
              <w:rPr>
                <w:b/>
              </w:rPr>
              <w:t>Zaprte oči in nos</w:t>
            </w:r>
          </w:p>
        </w:tc>
        <w:tc>
          <w:tcPr>
            <w:tcW w:w="0" w:type="auto"/>
            <w:shd w:val="clear" w:color="auto" w:fill="auto"/>
          </w:tcPr>
          <w:p w14:paraId="4256D095" w14:textId="77777777" w:rsidR="00312276" w:rsidRPr="00083865" w:rsidRDefault="00312276" w:rsidP="00083865">
            <w:pPr>
              <w:jc w:val="center"/>
              <w:rPr>
                <w:b/>
              </w:rPr>
            </w:pPr>
            <w:r w:rsidRPr="00083865">
              <w:rPr>
                <w:b/>
              </w:rPr>
              <w:t>Zaprte oči</w:t>
            </w:r>
          </w:p>
        </w:tc>
        <w:tc>
          <w:tcPr>
            <w:tcW w:w="0" w:type="auto"/>
            <w:shd w:val="clear" w:color="auto" w:fill="auto"/>
          </w:tcPr>
          <w:p w14:paraId="178CB68E" w14:textId="77777777" w:rsidR="00312276" w:rsidRPr="00083865" w:rsidRDefault="00312276" w:rsidP="00083865">
            <w:pPr>
              <w:jc w:val="center"/>
              <w:rPr>
                <w:b/>
              </w:rPr>
            </w:pPr>
            <w:r w:rsidRPr="00083865">
              <w:rPr>
                <w:b/>
              </w:rPr>
              <w:t>Zaprte</w:t>
            </w:r>
            <w:r w:rsidR="00A136DE" w:rsidRPr="00083865">
              <w:rPr>
                <w:b/>
              </w:rPr>
              <w:t xml:space="preserve"> oči +</w:t>
            </w:r>
            <w:r w:rsidRPr="00083865">
              <w:rPr>
                <w:b/>
              </w:rPr>
              <w:t xml:space="preserve"> grizenje</w:t>
            </w:r>
          </w:p>
        </w:tc>
      </w:tr>
      <w:tr w:rsidR="00312276" w14:paraId="0BBCC62D" w14:textId="77777777" w:rsidTr="00083865">
        <w:trPr>
          <w:jc w:val="center"/>
        </w:trPr>
        <w:tc>
          <w:tcPr>
            <w:tcW w:w="0" w:type="auto"/>
            <w:shd w:val="clear" w:color="auto" w:fill="auto"/>
          </w:tcPr>
          <w:p w14:paraId="2A62D96B" w14:textId="77777777" w:rsidR="00312276" w:rsidRPr="00083865" w:rsidRDefault="00312276" w:rsidP="00083865">
            <w:pPr>
              <w:jc w:val="center"/>
              <w:rPr>
                <w:b/>
              </w:rPr>
            </w:pPr>
            <w:r w:rsidRPr="00083865">
              <w:rPr>
                <w:b/>
              </w:rPr>
              <w:t>Jabolko</w:t>
            </w:r>
          </w:p>
        </w:tc>
        <w:tc>
          <w:tcPr>
            <w:tcW w:w="0" w:type="auto"/>
            <w:shd w:val="clear" w:color="auto" w:fill="auto"/>
          </w:tcPr>
          <w:p w14:paraId="2D3BAD5F" w14:textId="77777777" w:rsidR="00312276" w:rsidRDefault="0079105D" w:rsidP="00083865">
            <w:pPr>
              <w:jc w:val="center"/>
            </w:pPr>
            <w:r>
              <w:t>da</w:t>
            </w:r>
          </w:p>
        </w:tc>
        <w:tc>
          <w:tcPr>
            <w:tcW w:w="0" w:type="auto"/>
            <w:shd w:val="clear" w:color="auto" w:fill="auto"/>
          </w:tcPr>
          <w:p w14:paraId="6576E4A2" w14:textId="77777777" w:rsidR="00312276" w:rsidRDefault="0079105D" w:rsidP="00083865">
            <w:pPr>
              <w:jc w:val="center"/>
            </w:pPr>
            <w:r>
              <w:t>da</w:t>
            </w:r>
          </w:p>
        </w:tc>
        <w:tc>
          <w:tcPr>
            <w:tcW w:w="0" w:type="auto"/>
            <w:shd w:val="clear" w:color="auto" w:fill="auto"/>
          </w:tcPr>
          <w:p w14:paraId="1D2E13DD" w14:textId="77777777" w:rsidR="00312276" w:rsidRDefault="0079105D" w:rsidP="00083865">
            <w:pPr>
              <w:jc w:val="center"/>
            </w:pPr>
            <w:r>
              <w:t>da</w:t>
            </w:r>
          </w:p>
        </w:tc>
      </w:tr>
      <w:tr w:rsidR="00312276" w14:paraId="09CCFDCA" w14:textId="77777777" w:rsidTr="00083865">
        <w:trPr>
          <w:jc w:val="center"/>
        </w:trPr>
        <w:tc>
          <w:tcPr>
            <w:tcW w:w="0" w:type="auto"/>
            <w:shd w:val="clear" w:color="auto" w:fill="auto"/>
          </w:tcPr>
          <w:p w14:paraId="640B6B5C" w14:textId="77777777" w:rsidR="00312276" w:rsidRPr="00083865" w:rsidRDefault="00312276" w:rsidP="00083865">
            <w:pPr>
              <w:jc w:val="center"/>
              <w:rPr>
                <w:b/>
              </w:rPr>
            </w:pPr>
            <w:r w:rsidRPr="00083865">
              <w:rPr>
                <w:b/>
              </w:rPr>
              <w:t>Paradižnik</w:t>
            </w:r>
          </w:p>
        </w:tc>
        <w:tc>
          <w:tcPr>
            <w:tcW w:w="0" w:type="auto"/>
            <w:shd w:val="clear" w:color="auto" w:fill="auto"/>
          </w:tcPr>
          <w:p w14:paraId="25229F69" w14:textId="77777777" w:rsidR="00312276" w:rsidRDefault="0079105D" w:rsidP="00083865">
            <w:pPr>
              <w:jc w:val="center"/>
            </w:pPr>
            <w:r>
              <w:t>ne</w:t>
            </w:r>
          </w:p>
        </w:tc>
        <w:tc>
          <w:tcPr>
            <w:tcW w:w="0" w:type="auto"/>
            <w:shd w:val="clear" w:color="auto" w:fill="auto"/>
          </w:tcPr>
          <w:p w14:paraId="3C4A43B4" w14:textId="77777777" w:rsidR="00312276" w:rsidRDefault="0079105D" w:rsidP="00083865">
            <w:pPr>
              <w:jc w:val="center"/>
            </w:pPr>
            <w:r>
              <w:t>da</w:t>
            </w:r>
          </w:p>
        </w:tc>
        <w:tc>
          <w:tcPr>
            <w:tcW w:w="0" w:type="auto"/>
            <w:shd w:val="clear" w:color="auto" w:fill="auto"/>
          </w:tcPr>
          <w:p w14:paraId="081431F3" w14:textId="77777777" w:rsidR="00312276" w:rsidRDefault="0079105D" w:rsidP="00083865">
            <w:pPr>
              <w:jc w:val="center"/>
            </w:pPr>
            <w:r>
              <w:t>da</w:t>
            </w:r>
          </w:p>
        </w:tc>
      </w:tr>
      <w:tr w:rsidR="00312276" w14:paraId="521B67FE" w14:textId="77777777" w:rsidTr="00083865">
        <w:trPr>
          <w:jc w:val="center"/>
        </w:trPr>
        <w:tc>
          <w:tcPr>
            <w:tcW w:w="0" w:type="auto"/>
            <w:shd w:val="clear" w:color="auto" w:fill="auto"/>
          </w:tcPr>
          <w:p w14:paraId="1830DEF0" w14:textId="77777777" w:rsidR="00312276" w:rsidRPr="00083865" w:rsidRDefault="00312276" w:rsidP="00083865">
            <w:pPr>
              <w:jc w:val="center"/>
              <w:rPr>
                <w:b/>
              </w:rPr>
            </w:pPr>
            <w:r w:rsidRPr="00083865">
              <w:rPr>
                <w:b/>
              </w:rPr>
              <w:t>Banana</w:t>
            </w:r>
          </w:p>
        </w:tc>
        <w:tc>
          <w:tcPr>
            <w:tcW w:w="0" w:type="auto"/>
            <w:shd w:val="clear" w:color="auto" w:fill="auto"/>
          </w:tcPr>
          <w:p w14:paraId="25E56BA4" w14:textId="77777777" w:rsidR="00312276" w:rsidRDefault="0079105D" w:rsidP="00083865">
            <w:pPr>
              <w:jc w:val="center"/>
            </w:pPr>
            <w:r>
              <w:t>da</w:t>
            </w:r>
          </w:p>
        </w:tc>
        <w:tc>
          <w:tcPr>
            <w:tcW w:w="0" w:type="auto"/>
            <w:shd w:val="clear" w:color="auto" w:fill="auto"/>
          </w:tcPr>
          <w:p w14:paraId="6D5F2CDF" w14:textId="77777777" w:rsidR="00312276" w:rsidRDefault="0079105D" w:rsidP="00083865">
            <w:pPr>
              <w:jc w:val="center"/>
            </w:pPr>
            <w:r>
              <w:t>da</w:t>
            </w:r>
          </w:p>
        </w:tc>
        <w:tc>
          <w:tcPr>
            <w:tcW w:w="0" w:type="auto"/>
            <w:shd w:val="clear" w:color="auto" w:fill="auto"/>
          </w:tcPr>
          <w:p w14:paraId="77494CFC" w14:textId="77777777" w:rsidR="00312276" w:rsidRDefault="0079105D" w:rsidP="00083865">
            <w:pPr>
              <w:jc w:val="center"/>
            </w:pPr>
            <w:r>
              <w:t>da</w:t>
            </w:r>
          </w:p>
        </w:tc>
      </w:tr>
      <w:tr w:rsidR="00312276" w14:paraId="73CF6CFA" w14:textId="77777777" w:rsidTr="00083865">
        <w:trPr>
          <w:jc w:val="center"/>
        </w:trPr>
        <w:tc>
          <w:tcPr>
            <w:tcW w:w="0" w:type="auto"/>
            <w:shd w:val="clear" w:color="auto" w:fill="auto"/>
          </w:tcPr>
          <w:p w14:paraId="00714C46" w14:textId="77777777" w:rsidR="00312276" w:rsidRPr="00083865" w:rsidRDefault="00312276" w:rsidP="00083865">
            <w:pPr>
              <w:jc w:val="center"/>
              <w:rPr>
                <w:b/>
              </w:rPr>
            </w:pPr>
            <w:r w:rsidRPr="00083865">
              <w:rPr>
                <w:b/>
              </w:rPr>
              <w:t>Pomaranča</w:t>
            </w:r>
          </w:p>
        </w:tc>
        <w:tc>
          <w:tcPr>
            <w:tcW w:w="0" w:type="auto"/>
            <w:shd w:val="clear" w:color="auto" w:fill="auto"/>
          </w:tcPr>
          <w:p w14:paraId="1587DA78" w14:textId="77777777" w:rsidR="00312276" w:rsidRDefault="0079105D" w:rsidP="00083865">
            <w:pPr>
              <w:jc w:val="center"/>
            </w:pPr>
            <w:r>
              <w:t>ne</w:t>
            </w:r>
          </w:p>
        </w:tc>
        <w:tc>
          <w:tcPr>
            <w:tcW w:w="0" w:type="auto"/>
            <w:shd w:val="clear" w:color="auto" w:fill="auto"/>
          </w:tcPr>
          <w:p w14:paraId="17D4FA8D" w14:textId="77777777" w:rsidR="00312276" w:rsidRDefault="0079105D" w:rsidP="00083865">
            <w:pPr>
              <w:jc w:val="center"/>
            </w:pPr>
            <w:r>
              <w:t>da</w:t>
            </w:r>
          </w:p>
        </w:tc>
        <w:tc>
          <w:tcPr>
            <w:tcW w:w="0" w:type="auto"/>
            <w:shd w:val="clear" w:color="auto" w:fill="auto"/>
          </w:tcPr>
          <w:p w14:paraId="609CA0BD" w14:textId="77777777" w:rsidR="00312276" w:rsidRDefault="0079105D" w:rsidP="00083865">
            <w:pPr>
              <w:jc w:val="center"/>
            </w:pPr>
            <w:r>
              <w:t>da</w:t>
            </w:r>
          </w:p>
        </w:tc>
      </w:tr>
      <w:tr w:rsidR="00312276" w14:paraId="60CD896D" w14:textId="77777777" w:rsidTr="00083865">
        <w:trPr>
          <w:jc w:val="center"/>
        </w:trPr>
        <w:tc>
          <w:tcPr>
            <w:tcW w:w="0" w:type="auto"/>
            <w:shd w:val="clear" w:color="auto" w:fill="auto"/>
          </w:tcPr>
          <w:p w14:paraId="7794B425" w14:textId="77777777" w:rsidR="00312276" w:rsidRPr="00083865" w:rsidRDefault="00312276" w:rsidP="00083865">
            <w:pPr>
              <w:jc w:val="center"/>
              <w:rPr>
                <w:b/>
              </w:rPr>
            </w:pPr>
            <w:r w:rsidRPr="00083865">
              <w:rPr>
                <w:b/>
              </w:rPr>
              <w:t>Korenje</w:t>
            </w:r>
          </w:p>
        </w:tc>
        <w:tc>
          <w:tcPr>
            <w:tcW w:w="0" w:type="auto"/>
            <w:shd w:val="clear" w:color="auto" w:fill="auto"/>
          </w:tcPr>
          <w:p w14:paraId="1ECFDD10" w14:textId="77777777" w:rsidR="00312276" w:rsidRDefault="0079105D" w:rsidP="00083865">
            <w:pPr>
              <w:jc w:val="center"/>
            </w:pPr>
            <w:r>
              <w:t>ne</w:t>
            </w:r>
          </w:p>
        </w:tc>
        <w:tc>
          <w:tcPr>
            <w:tcW w:w="0" w:type="auto"/>
            <w:shd w:val="clear" w:color="auto" w:fill="auto"/>
          </w:tcPr>
          <w:p w14:paraId="27607EC3" w14:textId="77777777" w:rsidR="00312276" w:rsidRDefault="0079105D" w:rsidP="00083865">
            <w:pPr>
              <w:jc w:val="center"/>
            </w:pPr>
            <w:r>
              <w:t>ne</w:t>
            </w:r>
          </w:p>
        </w:tc>
        <w:tc>
          <w:tcPr>
            <w:tcW w:w="0" w:type="auto"/>
            <w:shd w:val="clear" w:color="auto" w:fill="auto"/>
          </w:tcPr>
          <w:p w14:paraId="3BEBD169" w14:textId="77777777" w:rsidR="00312276" w:rsidRDefault="0079105D" w:rsidP="00083865">
            <w:pPr>
              <w:jc w:val="center"/>
            </w:pPr>
            <w:r>
              <w:t>da</w:t>
            </w:r>
          </w:p>
        </w:tc>
      </w:tr>
      <w:tr w:rsidR="00312276" w14:paraId="3D71C242" w14:textId="77777777" w:rsidTr="00083865">
        <w:trPr>
          <w:jc w:val="center"/>
        </w:trPr>
        <w:tc>
          <w:tcPr>
            <w:tcW w:w="0" w:type="auto"/>
            <w:shd w:val="clear" w:color="auto" w:fill="auto"/>
          </w:tcPr>
          <w:p w14:paraId="481E0419" w14:textId="77777777" w:rsidR="00312276" w:rsidRPr="00083865" w:rsidRDefault="00312276" w:rsidP="00083865">
            <w:pPr>
              <w:jc w:val="center"/>
              <w:rPr>
                <w:b/>
              </w:rPr>
            </w:pPr>
            <w:r w:rsidRPr="00083865">
              <w:rPr>
                <w:b/>
              </w:rPr>
              <w:t>Čokolada</w:t>
            </w:r>
          </w:p>
        </w:tc>
        <w:tc>
          <w:tcPr>
            <w:tcW w:w="0" w:type="auto"/>
            <w:shd w:val="clear" w:color="auto" w:fill="auto"/>
          </w:tcPr>
          <w:p w14:paraId="42900355" w14:textId="77777777" w:rsidR="00312276" w:rsidRDefault="0079105D" w:rsidP="00083865">
            <w:pPr>
              <w:jc w:val="center"/>
            </w:pPr>
            <w:r>
              <w:t>da</w:t>
            </w:r>
          </w:p>
        </w:tc>
        <w:tc>
          <w:tcPr>
            <w:tcW w:w="0" w:type="auto"/>
            <w:shd w:val="clear" w:color="auto" w:fill="auto"/>
          </w:tcPr>
          <w:p w14:paraId="29DC9BF6" w14:textId="77777777" w:rsidR="00312276" w:rsidRDefault="0079105D" w:rsidP="00083865">
            <w:pPr>
              <w:jc w:val="center"/>
            </w:pPr>
            <w:r>
              <w:t>da</w:t>
            </w:r>
          </w:p>
        </w:tc>
        <w:tc>
          <w:tcPr>
            <w:tcW w:w="0" w:type="auto"/>
            <w:shd w:val="clear" w:color="auto" w:fill="auto"/>
          </w:tcPr>
          <w:p w14:paraId="0F57FC2B" w14:textId="77777777" w:rsidR="00312276" w:rsidRDefault="0079105D" w:rsidP="00083865">
            <w:pPr>
              <w:jc w:val="center"/>
            </w:pPr>
            <w:r>
              <w:t>da</w:t>
            </w:r>
          </w:p>
        </w:tc>
      </w:tr>
    </w:tbl>
    <w:p w14:paraId="50362023" w14:textId="77777777" w:rsidR="00312276" w:rsidRDefault="00312276" w:rsidP="00BB1DA6">
      <w:pPr>
        <w:ind w:left="360"/>
        <w:jc w:val="both"/>
      </w:pPr>
    </w:p>
    <w:p w14:paraId="477BC777" w14:textId="77777777" w:rsidR="00312276" w:rsidRDefault="00312276" w:rsidP="00BB1DA6">
      <w:pPr>
        <w:ind w:left="360"/>
        <w:jc w:val="both"/>
      </w:pPr>
    </w:p>
    <w:p w14:paraId="729FF785" w14:textId="77777777" w:rsidR="004D5B3F" w:rsidRPr="00A14ED4" w:rsidRDefault="004D5B3F" w:rsidP="004D5B3F">
      <w:pPr>
        <w:rPr>
          <w:szCs w:val="28"/>
        </w:rPr>
      </w:pPr>
      <w:r w:rsidRPr="00A14ED4">
        <w:rPr>
          <w:szCs w:val="28"/>
        </w:rPr>
        <w:t>4. Zanesljivost čutila za voh glede na čas</w:t>
      </w:r>
    </w:p>
    <w:p w14:paraId="7DE79A9B" w14:textId="77777777" w:rsidR="004D5B3F" w:rsidRDefault="004D5B3F" w:rsidP="004D5B3F">
      <w:pPr>
        <w:ind w:left="360"/>
        <w:jc w:val="both"/>
      </w:pPr>
    </w:p>
    <w:p w14:paraId="39231EBA" w14:textId="77777777" w:rsidR="004D5B3F" w:rsidRDefault="004D5B3F" w:rsidP="004D5B3F">
      <w:pPr>
        <w:ind w:left="360"/>
        <w:jc w:val="both"/>
      </w:pPr>
      <w:r>
        <w:t>Zapišite čas, ko ne zaznavate več vonja po nageljnovih žbicah:</w:t>
      </w:r>
    </w:p>
    <w:p w14:paraId="135E8723" w14:textId="77777777" w:rsidR="004D5B3F" w:rsidRDefault="004D5B3F" w:rsidP="004D5B3F">
      <w:pPr>
        <w:ind w:left="360"/>
        <w:jc w:val="both"/>
      </w:pPr>
      <w:r>
        <w:tab/>
        <w:t>Voham že več kot 5 min in ga še vedno voham</w:t>
      </w:r>
      <w:r w:rsidR="0040066C">
        <w:t>.</w:t>
      </w:r>
    </w:p>
    <w:p w14:paraId="2C72FAB8" w14:textId="77777777" w:rsidR="00C528CB" w:rsidRDefault="00C528CB" w:rsidP="004D5B3F">
      <w:pPr>
        <w:ind w:left="360"/>
        <w:jc w:val="both"/>
      </w:pPr>
    </w:p>
    <w:p w14:paraId="520936BD" w14:textId="77777777" w:rsidR="00C528CB" w:rsidRDefault="00C528CB" w:rsidP="004D5B3F">
      <w:pPr>
        <w:ind w:left="360"/>
        <w:jc w:val="both"/>
      </w:pPr>
      <w:r>
        <w:t>Olja poprove mete nismo vohali.</w:t>
      </w:r>
    </w:p>
    <w:p w14:paraId="4685DEF4" w14:textId="77777777" w:rsidR="000E14AD" w:rsidRDefault="000E14AD" w:rsidP="004D5B3F">
      <w:pPr>
        <w:ind w:left="360"/>
        <w:jc w:val="both"/>
      </w:pPr>
    </w:p>
    <w:p w14:paraId="18C71EDE" w14:textId="77777777" w:rsidR="000E14AD" w:rsidRDefault="000E14AD" w:rsidP="000E14AD">
      <w:pPr>
        <w:jc w:val="both"/>
        <w:rPr>
          <w:b/>
        </w:rPr>
      </w:pPr>
      <w:r>
        <w:rPr>
          <w:b/>
        </w:rPr>
        <w:t>Diskusija</w:t>
      </w:r>
    </w:p>
    <w:p w14:paraId="29F7F787" w14:textId="77777777" w:rsidR="000E14AD" w:rsidRDefault="000E14AD" w:rsidP="000E14AD">
      <w:pPr>
        <w:jc w:val="both"/>
        <w:rPr>
          <w:b/>
        </w:rPr>
      </w:pPr>
    </w:p>
    <w:p w14:paraId="28DFB775" w14:textId="77777777" w:rsidR="001E1EF5" w:rsidRDefault="001E1EF5" w:rsidP="00E1640A">
      <w:pPr>
        <w:jc w:val="both"/>
      </w:pPr>
      <w:r>
        <w:t>Snovi se morajo na jeziku raztopiti s pomočjo sline, da jih lahko okusimo. Pri tem tudi nam vonj pripomore k prepoznavanju; torej se čutili dopolnjujeta, informaciji pa se v možganih obdelujeta hkrati.</w:t>
      </w:r>
    </w:p>
    <w:p w14:paraId="298DCCEF" w14:textId="77777777" w:rsidR="000E14AD" w:rsidRDefault="001E1EF5" w:rsidP="00E1640A">
      <w:pPr>
        <w:jc w:val="both"/>
      </w:pPr>
      <w:r>
        <w:t>Tako ob prehladu tudi okušamo drugače, saj nam čutilo za vonj ne pomaga zaznavati okušane snovi.</w:t>
      </w:r>
    </w:p>
    <w:p w14:paraId="3FFBC6F7" w14:textId="77777777" w:rsidR="00B12459" w:rsidRDefault="00B12459" w:rsidP="00E1640A">
      <w:pPr>
        <w:jc w:val="both"/>
      </w:pPr>
    </w:p>
    <w:p w14:paraId="390CB8EA" w14:textId="77777777" w:rsidR="00B12459" w:rsidRDefault="00B12459" w:rsidP="00E1640A">
      <w:pPr>
        <w:jc w:val="both"/>
      </w:pPr>
      <w:r>
        <w:t>Čutnice za različne okuse so posejane po celem jeziku, na določenih mestih pa so zgoščene in jih je še posebej veliko. Na teh mestih najbolje zaznavamo nek okus, kar smo tudi dokazali s to vajo.</w:t>
      </w:r>
    </w:p>
    <w:p w14:paraId="381EB1EA" w14:textId="77777777" w:rsidR="00B12459" w:rsidRDefault="00B12459" w:rsidP="00E1640A">
      <w:pPr>
        <w:jc w:val="both"/>
      </w:pPr>
      <w:r>
        <w:t>Slano smo v povprečju občutili na straneh jezika, sladko na konici, grenko na korenu in kislo ob straneh vendar pa za slanim.</w:t>
      </w:r>
    </w:p>
    <w:p w14:paraId="0C9C2DBC" w14:textId="77777777" w:rsidR="00924EB2" w:rsidRDefault="00B12459" w:rsidP="00E1640A">
      <w:pPr>
        <w:jc w:val="both"/>
      </w:pPr>
      <w:r>
        <w:t>Predvidevali smo tudi, da imamo čutilo za grenko ravno nad žrelom zato, da strupenih snovi nebi pogoltnili, saj so te največkrat grenkega okusa.</w:t>
      </w:r>
    </w:p>
    <w:p w14:paraId="5E9342F6" w14:textId="77777777" w:rsidR="00924EB2" w:rsidRDefault="00924EB2" w:rsidP="00E1640A">
      <w:pPr>
        <w:jc w:val="both"/>
      </w:pPr>
    </w:p>
    <w:p w14:paraId="527CC403" w14:textId="77777777" w:rsidR="00924EB2" w:rsidRDefault="00924EB2" w:rsidP="00E1640A">
      <w:pPr>
        <w:jc w:val="both"/>
      </w:pPr>
      <w:r>
        <w:t>Vzdražni prag za raztopino sladkorja se je gibal okoli 0,1M, za raztopino soli pa okoli 0,03M. Kot smo ugotovili, se s tem delom poskusa ni dalo natančno pokazati vzdražnega pragu za sladko in slano, saj smo imeli premalo pripravljenih raztopin dane snovi med tisto pri kateri nismo začutili nič in med tisto, pri kateri smo začutili okus.</w:t>
      </w:r>
    </w:p>
    <w:p w14:paraId="17788F78" w14:textId="77777777" w:rsidR="00924EB2" w:rsidRDefault="00924EB2" w:rsidP="00E1640A">
      <w:pPr>
        <w:jc w:val="both"/>
      </w:pPr>
      <w:r>
        <w:t>Rezultati pa so bili tudi večinoma drugačni, saj smo si pozabili spirati jezik po vsakem okušanju sladkorne raztopine oziroma raztopine soli.</w:t>
      </w:r>
    </w:p>
    <w:p w14:paraId="0724A30C" w14:textId="77777777" w:rsidR="00B12459" w:rsidRDefault="00B12459" w:rsidP="00693765"/>
    <w:p w14:paraId="238FBC88" w14:textId="77777777" w:rsidR="00081815" w:rsidRDefault="00081815" w:rsidP="00081815">
      <w:pPr>
        <w:jc w:val="both"/>
      </w:pPr>
      <w:r>
        <w:t>To, da po nekem določenem času ne čutimo več dražljaja, imenujemo čutna adaptacija. A četudi takega dražljaja ne čutimo več (zanj naše telo noče brez pomena trošiti energije, ker se dražljaj na daljše časovno obdobje ne spreminja), se še vedno zavedamo njegove prisotnosti.</w:t>
      </w:r>
    </w:p>
    <w:p w14:paraId="5C407795" w14:textId="77777777" w:rsidR="00680437" w:rsidRDefault="00680437" w:rsidP="00081815">
      <w:pPr>
        <w:jc w:val="both"/>
      </w:pPr>
    </w:p>
    <w:p w14:paraId="30388897" w14:textId="77777777" w:rsidR="00680437" w:rsidRDefault="00680437" w:rsidP="00081815">
      <w:pPr>
        <w:jc w:val="both"/>
      </w:pPr>
      <w:r>
        <w:rPr>
          <w:b/>
        </w:rPr>
        <w:t>Sklepi</w:t>
      </w:r>
    </w:p>
    <w:p w14:paraId="03DCCD32" w14:textId="77777777" w:rsidR="00680437" w:rsidRDefault="00680437" w:rsidP="00081815">
      <w:pPr>
        <w:jc w:val="both"/>
      </w:pPr>
    </w:p>
    <w:p w14:paraId="48B89D74" w14:textId="77777777" w:rsidR="00BB560F" w:rsidRDefault="00BB560F" w:rsidP="00D93C1C">
      <w:pPr>
        <w:jc w:val="both"/>
      </w:pPr>
      <w:r>
        <w:t>Ljudje okušamo hrano z različnimi predeli jezika, vsi ne z enakimi, vendar pa imamo čutnice za določen okus zgoščene na podobnih mestih jezika.</w:t>
      </w:r>
      <w:r w:rsidR="007F5478">
        <w:t xml:space="preserve"> Tako je na</w:t>
      </w:r>
      <w:r w:rsidR="00EC0626">
        <w:t xml:space="preserve"> </w:t>
      </w:r>
      <w:r w:rsidR="007F5478">
        <w:t>primer območje za sladko je na konici jezika, ker so ogljikovi hidrati, ki so glavni vir energije, sladki; območje za grenko pa je na korenu jezika, da lahko grenko (glavna značilnost strupenih snovi) snov izpljunemo preden jo požremo.</w:t>
      </w:r>
    </w:p>
    <w:p w14:paraId="6D7D3E02" w14:textId="77777777" w:rsidR="00BB560F" w:rsidRDefault="00EC0626" w:rsidP="00D93C1C">
      <w:pPr>
        <w:jc w:val="both"/>
      </w:pPr>
      <w:r>
        <w:t>Pri prepoznavanju hrane si ne pomagamo zgolj s čutilom za okus, ampak tudi s čutilom za vonj in vid.</w:t>
      </w:r>
    </w:p>
    <w:p w14:paraId="78C0CEE1" w14:textId="77777777" w:rsidR="00BB560F" w:rsidRDefault="00EC0626" w:rsidP="00D93C1C">
      <w:pPr>
        <w:jc w:val="both"/>
      </w:pPr>
      <w:r>
        <w:t>Vzdražni pragovi</w:t>
      </w:r>
      <w:r w:rsidR="00BB560F">
        <w:t xml:space="preserve"> za zaznavanje različnih okusov so pri ljudeh različni, vendar pa je vzdražni prag zaznavanja soli manjši kot pa prag zaznavanja sladkorja.</w:t>
      </w:r>
    </w:p>
    <w:p w14:paraId="17CD8D32" w14:textId="77777777" w:rsidR="00BB560F" w:rsidRDefault="00BB560F" w:rsidP="00D93C1C">
      <w:pPr>
        <w:jc w:val="both"/>
      </w:pPr>
      <w:r>
        <w:t>Da pa snovi sploh zaznamo z našimi kemoreceptorji (v nosu ali na jeziku), morajo biti raztopljene.</w:t>
      </w:r>
    </w:p>
    <w:p w14:paraId="43AE6997" w14:textId="77777777" w:rsidR="00680437" w:rsidRDefault="007F5478" w:rsidP="00081815">
      <w:pPr>
        <w:jc w:val="both"/>
      </w:pPr>
      <w:r>
        <w:t>Če je čutilo predolgo izpostavljeno nekemu dražljaju pride do čutne adaptacije, da organizem ne troši energije brez pomena.</w:t>
      </w:r>
    </w:p>
    <w:p w14:paraId="1515A910" w14:textId="77777777" w:rsidR="00FC1CBB" w:rsidRDefault="00FC1CBB" w:rsidP="00081815">
      <w:pPr>
        <w:jc w:val="both"/>
      </w:pPr>
    </w:p>
    <w:p w14:paraId="7B03912B" w14:textId="77777777" w:rsidR="00FC1CBB" w:rsidRDefault="00FC1CBB" w:rsidP="00081815">
      <w:pPr>
        <w:jc w:val="both"/>
      </w:pPr>
      <w:r>
        <w:rPr>
          <w:b/>
        </w:rPr>
        <w:t>Literatura</w:t>
      </w:r>
    </w:p>
    <w:p w14:paraId="52E50DF7" w14:textId="77777777" w:rsidR="00FC1CBB" w:rsidRDefault="00FC1CBB" w:rsidP="00081815">
      <w:pPr>
        <w:jc w:val="both"/>
      </w:pPr>
    </w:p>
    <w:p w14:paraId="38559393" w14:textId="77777777" w:rsidR="004C4570" w:rsidRDefault="00FC1CBB" w:rsidP="00FC1CBB">
      <w:pPr>
        <w:numPr>
          <w:ilvl w:val="0"/>
          <w:numId w:val="3"/>
        </w:numPr>
        <w:tabs>
          <w:tab w:val="clear" w:pos="720"/>
          <w:tab w:val="num" w:pos="0"/>
        </w:tabs>
        <w:ind w:left="357" w:hanging="357"/>
        <w:jc w:val="both"/>
        <w:rPr>
          <w:rFonts w:cs="Courier New"/>
        </w:rPr>
      </w:pPr>
      <w:r w:rsidRPr="009B2F56">
        <w:rPr>
          <w:rFonts w:cs="Courier New"/>
        </w:rPr>
        <w:t xml:space="preserve">Smilja Pevec: </w:t>
      </w:r>
      <w:r w:rsidRPr="00FC1CBB">
        <w:rPr>
          <w:rFonts w:cs="Courier New"/>
          <w:i/>
        </w:rPr>
        <w:t>BIOLOGIJA, Laboratorijsko delo</w:t>
      </w:r>
      <w:r w:rsidRPr="009B2F56">
        <w:rPr>
          <w:rFonts w:cs="Courier New"/>
        </w:rPr>
        <w:t>, DZS, Lj</w:t>
      </w:r>
      <w:r>
        <w:rPr>
          <w:rFonts w:cs="Courier New"/>
        </w:rPr>
        <w:t>ubljana 1999</w:t>
      </w:r>
    </w:p>
    <w:p w14:paraId="460B35E2" w14:textId="77777777" w:rsidR="00FC1CBB" w:rsidRPr="00FC1CBB" w:rsidRDefault="00FC1CBB" w:rsidP="00FC1CBB">
      <w:pPr>
        <w:numPr>
          <w:ilvl w:val="0"/>
          <w:numId w:val="3"/>
        </w:numPr>
        <w:tabs>
          <w:tab w:val="clear" w:pos="720"/>
          <w:tab w:val="num" w:pos="0"/>
        </w:tabs>
        <w:ind w:left="357" w:hanging="357"/>
        <w:jc w:val="both"/>
        <w:rPr>
          <w:rFonts w:cs="Courier New"/>
        </w:rPr>
      </w:pPr>
      <w:r w:rsidRPr="009B2F56">
        <w:rPr>
          <w:rFonts w:cs="Courier New"/>
        </w:rPr>
        <w:t xml:space="preserve">Drašler, Gogala, Povž in ostali: </w:t>
      </w:r>
      <w:r w:rsidRPr="00FC1CBB">
        <w:rPr>
          <w:rFonts w:cs="Courier New"/>
          <w:i/>
        </w:rPr>
        <w:t>BIOLOGIJA, Navodila za laboratorijsko delo</w:t>
      </w:r>
      <w:r w:rsidRPr="009B2F56">
        <w:rPr>
          <w:rFonts w:cs="Courier New"/>
        </w:rPr>
        <w:t>, DZS, Ljubljana 1998</w:t>
      </w:r>
    </w:p>
    <w:sectPr w:rsidR="00FC1CBB" w:rsidRPr="00FC1CBB" w:rsidSect="00522DA6">
      <w:headerReference w:type="default" r:id="rId7"/>
      <w:footerReference w:type="even" r:id="rId8"/>
      <w:footerReference w:type="default" r:id="rId9"/>
      <w:pgSz w:w="11906" w:h="16838"/>
      <w:pgMar w:top="1417" w:right="1417" w:bottom="1417" w:left="1417" w:header="708" w:footer="708"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1151C" w14:textId="77777777" w:rsidR="00083865" w:rsidRDefault="00083865">
      <w:r>
        <w:separator/>
      </w:r>
    </w:p>
  </w:endnote>
  <w:endnote w:type="continuationSeparator" w:id="0">
    <w:p w14:paraId="3628AA09" w14:textId="77777777" w:rsidR="00083865" w:rsidRDefault="0008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B87A" w14:textId="77777777" w:rsidR="00EC0626" w:rsidRDefault="00EC0626" w:rsidP="00953C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63F01F" w14:textId="77777777" w:rsidR="00EC0626" w:rsidRDefault="00EC0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CEB8" w14:textId="77777777" w:rsidR="00EC0626" w:rsidRDefault="00EC0626" w:rsidP="00953C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4570">
      <w:rPr>
        <w:rStyle w:val="PageNumber"/>
        <w:noProof/>
      </w:rPr>
      <w:t>IV</w:t>
    </w:r>
    <w:r>
      <w:rPr>
        <w:rStyle w:val="PageNumber"/>
      </w:rPr>
      <w:fldChar w:fldCharType="end"/>
    </w:r>
  </w:p>
  <w:p w14:paraId="076A2B3C" w14:textId="4C68B6FF" w:rsidR="00EC0626" w:rsidRDefault="00EC062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98AEC" w14:textId="77777777" w:rsidR="00083865" w:rsidRDefault="00083865">
      <w:r>
        <w:separator/>
      </w:r>
    </w:p>
  </w:footnote>
  <w:footnote w:type="continuationSeparator" w:id="0">
    <w:p w14:paraId="78CA42D2" w14:textId="77777777" w:rsidR="00083865" w:rsidRDefault="00083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B2E7D" w14:textId="77777777" w:rsidR="00EC0626" w:rsidRDefault="00EC0626">
    <w:pPr>
      <w:pStyle w:val="Header"/>
    </w:pPr>
    <w:r>
      <w:t>Laboratorijsko delo</w:t>
    </w:r>
    <w:r>
      <w:tab/>
    </w:r>
    <w:r>
      <w:tab/>
      <w:t>Kemoreceptorji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05AC0"/>
    <w:multiLevelType w:val="hybridMultilevel"/>
    <w:tmpl w:val="BD7817C0"/>
    <w:lvl w:ilvl="0" w:tplc="63E00F70">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13D88"/>
    <w:multiLevelType w:val="hybridMultilevel"/>
    <w:tmpl w:val="18D2B750"/>
    <w:lvl w:ilvl="0" w:tplc="16B6C02E">
      <w:start w:val="4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C8388D"/>
    <w:multiLevelType w:val="hybridMultilevel"/>
    <w:tmpl w:val="982425D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44F2"/>
    <w:rsid w:val="00081815"/>
    <w:rsid w:val="00083865"/>
    <w:rsid w:val="000D27AD"/>
    <w:rsid w:val="000E14AD"/>
    <w:rsid w:val="00180A6A"/>
    <w:rsid w:val="001D3A9A"/>
    <w:rsid w:val="001E1EF5"/>
    <w:rsid w:val="00206D9B"/>
    <w:rsid w:val="002660E1"/>
    <w:rsid w:val="002C09B5"/>
    <w:rsid w:val="00312276"/>
    <w:rsid w:val="003844F2"/>
    <w:rsid w:val="003B11D9"/>
    <w:rsid w:val="003F10B3"/>
    <w:rsid w:val="0040066C"/>
    <w:rsid w:val="00455E3E"/>
    <w:rsid w:val="004C4570"/>
    <w:rsid w:val="004D5B3F"/>
    <w:rsid w:val="005115DA"/>
    <w:rsid w:val="00521B8B"/>
    <w:rsid w:val="00522DA6"/>
    <w:rsid w:val="0059772B"/>
    <w:rsid w:val="00621FAB"/>
    <w:rsid w:val="00680437"/>
    <w:rsid w:val="00693765"/>
    <w:rsid w:val="006D4151"/>
    <w:rsid w:val="00746B83"/>
    <w:rsid w:val="00753D23"/>
    <w:rsid w:val="0079105D"/>
    <w:rsid w:val="007F5478"/>
    <w:rsid w:val="00822E1B"/>
    <w:rsid w:val="008B416C"/>
    <w:rsid w:val="008D1BAC"/>
    <w:rsid w:val="008E1161"/>
    <w:rsid w:val="00904790"/>
    <w:rsid w:val="00917477"/>
    <w:rsid w:val="00924EB2"/>
    <w:rsid w:val="00930CA9"/>
    <w:rsid w:val="00953C9B"/>
    <w:rsid w:val="00A136DE"/>
    <w:rsid w:val="00A423FE"/>
    <w:rsid w:val="00AC22BC"/>
    <w:rsid w:val="00B12459"/>
    <w:rsid w:val="00B4001E"/>
    <w:rsid w:val="00BB1DA6"/>
    <w:rsid w:val="00BB560F"/>
    <w:rsid w:val="00BD280B"/>
    <w:rsid w:val="00C43AF4"/>
    <w:rsid w:val="00C528CB"/>
    <w:rsid w:val="00D03600"/>
    <w:rsid w:val="00D44D67"/>
    <w:rsid w:val="00D93C1C"/>
    <w:rsid w:val="00DE38AE"/>
    <w:rsid w:val="00E010A1"/>
    <w:rsid w:val="00E05F21"/>
    <w:rsid w:val="00E1640A"/>
    <w:rsid w:val="00E32EAB"/>
    <w:rsid w:val="00EC0626"/>
    <w:rsid w:val="00F7088D"/>
    <w:rsid w:val="00FC1CBB"/>
    <w:rsid w:val="00FF0F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9A1D6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4F2"/>
    <w:rPr>
      <w:rFonts w:ascii="Arial" w:hAnsi="Arial" w:cs="Arial"/>
      <w:sz w:val="28"/>
      <w:szCs w:val="24"/>
    </w:rPr>
  </w:style>
  <w:style w:type="paragraph" w:styleId="Heading1">
    <w:name w:val="heading 1"/>
    <w:basedOn w:val="Normal"/>
    <w:next w:val="Normal"/>
    <w:qFormat/>
    <w:rsid w:val="003844F2"/>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44F2"/>
    <w:pPr>
      <w:tabs>
        <w:tab w:val="center" w:pos="4536"/>
        <w:tab w:val="right" w:pos="9072"/>
      </w:tabs>
    </w:pPr>
  </w:style>
  <w:style w:type="paragraph" w:styleId="Footer">
    <w:name w:val="footer"/>
    <w:basedOn w:val="Normal"/>
    <w:rsid w:val="003844F2"/>
    <w:pPr>
      <w:tabs>
        <w:tab w:val="center" w:pos="4536"/>
        <w:tab w:val="right" w:pos="9072"/>
      </w:tabs>
    </w:pPr>
  </w:style>
  <w:style w:type="character" w:styleId="PageNumber">
    <w:name w:val="page number"/>
    <w:basedOn w:val="DefaultParagraphFont"/>
    <w:rsid w:val="00522DA6"/>
  </w:style>
  <w:style w:type="table" w:styleId="TableGrid">
    <w:name w:val="Table Grid"/>
    <w:basedOn w:val="TableNormal"/>
    <w:rsid w:val="0082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