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188"/>
        <w:gridCol w:w="6840"/>
        <w:gridCol w:w="1184"/>
      </w:tblGrid>
      <w:tr w:rsidR="00E53044" w14:paraId="03818187" w14:textId="77777777" w:rsidTr="00963881">
        <w:tc>
          <w:tcPr>
            <w:tcW w:w="1188" w:type="dxa"/>
            <w:vMerge w:val="restart"/>
            <w:shd w:val="clear" w:color="auto" w:fill="auto"/>
          </w:tcPr>
          <w:p w14:paraId="70CB957C" w14:textId="1873AAC2" w:rsidR="00E53044" w:rsidRPr="00963881" w:rsidRDefault="00E53044" w:rsidP="00963881">
            <w:pPr>
              <w:jc w:val="center"/>
              <w:rPr>
                <w:sz w:val="32"/>
                <w:szCs w:val="32"/>
              </w:rPr>
            </w:pPr>
            <w:bookmarkStart w:id="0" w:name="_GoBack"/>
            <w:bookmarkEnd w:id="0"/>
          </w:p>
        </w:tc>
        <w:tc>
          <w:tcPr>
            <w:tcW w:w="6840" w:type="dxa"/>
            <w:shd w:val="clear" w:color="auto" w:fill="auto"/>
          </w:tcPr>
          <w:p w14:paraId="4D32B068" w14:textId="77777777" w:rsidR="00E53044" w:rsidRPr="00963881" w:rsidRDefault="00523D32" w:rsidP="00963881">
            <w:pPr>
              <w:jc w:val="center"/>
              <w:rPr>
                <w:b/>
                <w:sz w:val="28"/>
                <w:szCs w:val="28"/>
              </w:rPr>
            </w:pPr>
            <w:r w:rsidRPr="00963881">
              <w:rPr>
                <w:b/>
                <w:sz w:val="28"/>
                <w:szCs w:val="28"/>
              </w:rPr>
              <w:t>6</w:t>
            </w:r>
            <w:r w:rsidR="00E53044" w:rsidRPr="00963881">
              <w:rPr>
                <w:b/>
                <w:sz w:val="28"/>
                <w:szCs w:val="28"/>
              </w:rPr>
              <w:t xml:space="preserve">. poročilo: </w:t>
            </w:r>
            <w:r w:rsidRPr="00963881">
              <w:rPr>
                <w:b/>
                <w:sz w:val="28"/>
                <w:szCs w:val="28"/>
              </w:rPr>
              <w:t>KEMORECEPTORJI</w:t>
            </w:r>
          </w:p>
        </w:tc>
        <w:tc>
          <w:tcPr>
            <w:tcW w:w="1184" w:type="dxa"/>
            <w:vMerge w:val="restart"/>
            <w:shd w:val="clear" w:color="auto" w:fill="auto"/>
          </w:tcPr>
          <w:p w14:paraId="2CA65116" w14:textId="5827A500" w:rsidR="00E53044" w:rsidRPr="00963881" w:rsidRDefault="00E53044" w:rsidP="00963881">
            <w:pPr>
              <w:jc w:val="center"/>
              <w:rPr>
                <w:sz w:val="28"/>
                <w:szCs w:val="28"/>
              </w:rPr>
            </w:pPr>
          </w:p>
        </w:tc>
      </w:tr>
      <w:tr w:rsidR="00E53044" w14:paraId="612E8B6D" w14:textId="77777777" w:rsidTr="00963881">
        <w:tc>
          <w:tcPr>
            <w:tcW w:w="1188" w:type="dxa"/>
            <w:vMerge/>
            <w:shd w:val="clear" w:color="auto" w:fill="auto"/>
          </w:tcPr>
          <w:p w14:paraId="1A52C4ED" w14:textId="77777777" w:rsidR="00E53044" w:rsidRDefault="00E53044"/>
        </w:tc>
        <w:tc>
          <w:tcPr>
            <w:tcW w:w="6840" w:type="dxa"/>
            <w:shd w:val="clear" w:color="auto" w:fill="auto"/>
          </w:tcPr>
          <w:p w14:paraId="74598A5E" w14:textId="03F1D7BB" w:rsidR="00E53044" w:rsidRPr="00963881" w:rsidRDefault="00E53044" w:rsidP="00963881">
            <w:pPr>
              <w:jc w:val="center"/>
              <w:rPr>
                <w:sz w:val="28"/>
                <w:szCs w:val="28"/>
              </w:rPr>
            </w:pPr>
          </w:p>
        </w:tc>
        <w:tc>
          <w:tcPr>
            <w:tcW w:w="1184" w:type="dxa"/>
            <w:vMerge/>
            <w:shd w:val="clear" w:color="auto" w:fill="auto"/>
          </w:tcPr>
          <w:p w14:paraId="2A1E22EC" w14:textId="77777777" w:rsidR="00E53044" w:rsidRDefault="00E53044"/>
        </w:tc>
      </w:tr>
    </w:tbl>
    <w:p w14:paraId="51A7D0AE" w14:textId="77777777" w:rsidR="00E53044" w:rsidRDefault="00E53044"/>
    <w:p w14:paraId="2DFD7542" w14:textId="77777777" w:rsidR="00E53044" w:rsidRDefault="00E53044" w:rsidP="00E53044">
      <w:pPr>
        <w:pStyle w:val="Heading1"/>
      </w:pPr>
      <w:r>
        <w:t>Uvod</w:t>
      </w:r>
    </w:p>
    <w:p w14:paraId="6F883AD8" w14:textId="77777777" w:rsidR="00E53044" w:rsidRDefault="00523D32">
      <w:r>
        <w:t>Pri tej vaji smo ugotavljali, kako delujejo čutila za okus in voh pri človeku.</w:t>
      </w:r>
    </w:p>
    <w:p w14:paraId="58465073" w14:textId="77777777" w:rsidR="00E53044" w:rsidRDefault="00E53044" w:rsidP="00E53044">
      <w:pPr>
        <w:pStyle w:val="Heading1"/>
      </w:pPr>
      <w:r>
        <w:t>Material in postopki dela</w:t>
      </w:r>
    </w:p>
    <w:p w14:paraId="1C893FD8" w14:textId="77777777" w:rsidR="00180735" w:rsidRDefault="00523D32" w:rsidP="00180735">
      <w:r>
        <w:t>Material in p</w:t>
      </w:r>
      <w:r w:rsidR="00D11BFC">
        <w:t>ostopki dela so razloženi na priloženem listu</w:t>
      </w:r>
      <w:r w:rsidR="00784063">
        <w:t xml:space="preserve"> z navodili</w:t>
      </w:r>
      <w:r w:rsidR="00D11BFC">
        <w:t>.</w:t>
      </w:r>
    </w:p>
    <w:p w14:paraId="586302CE" w14:textId="77777777" w:rsidR="00E53044" w:rsidRDefault="00E53044" w:rsidP="00180735">
      <w:pPr>
        <w:pStyle w:val="Heading1"/>
      </w:pPr>
      <w:r>
        <w:t>Rezultat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23D32" w:rsidRPr="00523D32" w14:paraId="75CE0EA7" w14:textId="77777777" w:rsidTr="00963881">
        <w:tc>
          <w:tcPr>
            <w:tcW w:w="9212" w:type="dxa"/>
            <w:shd w:val="clear" w:color="auto" w:fill="auto"/>
          </w:tcPr>
          <w:p w14:paraId="696F81A9" w14:textId="77777777" w:rsidR="00523D32" w:rsidRPr="00523D32" w:rsidRDefault="00523D32" w:rsidP="00963881">
            <w:pPr>
              <w:jc w:val="center"/>
            </w:pPr>
            <w:r w:rsidRPr="00523D32">
              <w:t>1</w:t>
            </w:r>
          </w:p>
        </w:tc>
      </w:tr>
    </w:tbl>
    <w:p w14:paraId="7D1509D6" w14:textId="77777777" w:rsidR="00E53044" w:rsidRDefault="00523D32" w:rsidP="00523D32">
      <w:r>
        <w:t>Pri tem, ko smo jezik osušili z gazo in nanj stresli sladkor, oseba, ki je bila testirana, ni okusila sladkega oz. nič ni zaznala. (Če izvzamemo to, da je čutila, da ima nekaj na jeziku.) Možna razlaga je, da čutnice ne zaznajo celih zrnc sladkorja, zato se morajo zrnca najprej raztopiti in razgraditi v slini, šele nato jih lahko zaznamo. Ker testirani ni imel sline (jezik si je obrisal z gazo) tudi ni mogel zaznati okusa.</w:t>
      </w:r>
    </w:p>
    <w:p w14:paraId="2B27499C" w14:textId="77777777" w:rsidR="00523D32" w:rsidRDefault="00523D32" w:rsidP="00523D3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91DE4" w:rsidRPr="00691DE4" w14:paraId="2E83BA37" w14:textId="77777777" w:rsidTr="00963881">
        <w:trPr>
          <w:jc w:val="center"/>
        </w:trPr>
        <w:tc>
          <w:tcPr>
            <w:tcW w:w="9212" w:type="dxa"/>
            <w:shd w:val="clear" w:color="auto" w:fill="auto"/>
          </w:tcPr>
          <w:p w14:paraId="1D3FAAAF" w14:textId="77777777" w:rsidR="00691DE4" w:rsidRPr="00691DE4" w:rsidRDefault="00691DE4" w:rsidP="00963881">
            <w:pPr>
              <w:jc w:val="center"/>
            </w:pPr>
            <w:r w:rsidRPr="00691DE4">
              <w:t>2</w:t>
            </w:r>
          </w:p>
        </w:tc>
      </w:tr>
    </w:tbl>
    <w:p w14:paraId="0E8BA421" w14:textId="77777777" w:rsidR="00523D32" w:rsidRDefault="00523D32" w:rsidP="00523D32">
      <w:r>
        <w:t xml:space="preserve">Ko je imel </w:t>
      </w:r>
      <w:r w:rsidR="00691DE4">
        <w:t xml:space="preserve">testirani </w:t>
      </w:r>
      <w:r>
        <w:t>nos zaprt, ni natančno prepoznal okusa. Bodisi ga ni sploh zaznal ali pa ga je zaznal v manj intenzivni obliki. Šele ko je odprl nos, je zaznal celoten okus. To kaže na to, da informacija o okusu ne sestoji le iz komponente o okusu samem, ampak je ena od komponent tudi vonj.</w:t>
      </w:r>
      <w:r w:rsidR="00691DE4">
        <w:t xml:space="preserve"> Od hrane verjetno hlapijo razne snovi, ki jih lahko zaznajo vohalne čutnice, okušalne pa ne. Ko sta na voljo obe komponenti, je okus razpoznan.</w:t>
      </w:r>
    </w:p>
    <w:p w14:paraId="1E2438CB" w14:textId="77777777" w:rsidR="00691DE4" w:rsidRDefault="00691DE4" w:rsidP="00523D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E0616" w:rsidRPr="003E0616" w14:paraId="1101CD4B" w14:textId="77777777" w:rsidTr="00963881">
        <w:tc>
          <w:tcPr>
            <w:tcW w:w="9212" w:type="dxa"/>
            <w:shd w:val="clear" w:color="auto" w:fill="auto"/>
          </w:tcPr>
          <w:p w14:paraId="6EA37D10" w14:textId="77777777" w:rsidR="003E0616" w:rsidRPr="003E0616" w:rsidRDefault="003E0616" w:rsidP="00963881">
            <w:pPr>
              <w:jc w:val="center"/>
            </w:pPr>
            <w:r w:rsidRPr="003E0616">
              <w:t>3</w:t>
            </w:r>
          </w:p>
        </w:tc>
      </w:tr>
    </w:tbl>
    <w:p w14:paraId="0D2D811A" w14:textId="77777777" w:rsidR="00691DE4" w:rsidRDefault="003E0616" w:rsidP="00523D32">
      <w:r>
        <w:t>Sladko smo vsi okušali na konici jezika. Grenko smo okušali čisto zadaj. Slano smo okušali ob straneh na sprednjem delu jezika, kislo pa tudi ob straneh bolj zadaj. Poleg tega so nekateri trdili, da okušajo slano tudi čisto zadaj, drugi pa, da okušajo kislo s konico jezika. Ne glede na to lahko upravičeno trdimo, da čutnice vseh vrst niso enakomerno razporejeno po vsem jeziku, ampak se nahajajo na določenih regijah.</w:t>
      </w:r>
    </w:p>
    <w:p w14:paraId="25BE8788" w14:textId="77777777" w:rsidR="003E0616" w:rsidRDefault="003E0616" w:rsidP="00523D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F2E1E" w:rsidRPr="002F2E1E" w14:paraId="67259379" w14:textId="77777777" w:rsidTr="00963881">
        <w:tc>
          <w:tcPr>
            <w:tcW w:w="9212" w:type="dxa"/>
            <w:shd w:val="clear" w:color="auto" w:fill="auto"/>
          </w:tcPr>
          <w:p w14:paraId="19623204" w14:textId="77777777" w:rsidR="002F2E1E" w:rsidRPr="002F2E1E" w:rsidRDefault="002F2E1E" w:rsidP="00963881">
            <w:pPr>
              <w:jc w:val="center"/>
            </w:pPr>
            <w:r w:rsidRPr="002F2E1E">
              <w:t>4</w:t>
            </w:r>
          </w:p>
        </w:tc>
      </w:tr>
    </w:tbl>
    <w:p w14:paraId="279788DD" w14:textId="77777777" w:rsidR="002F2E1E" w:rsidRDefault="002F2E1E" w:rsidP="00523D32"/>
    <w:tbl>
      <w:tblPr>
        <w:tblpPr w:leftFromText="141" w:rightFromText="141" w:vertAnchor="text" w:horzAnchor="margin" w:tblpY="5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67"/>
        <w:gridCol w:w="1467"/>
        <w:gridCol w:w="1467"/>
      </w:tblGrid>
      <w:tr w:rsidR="002F2E1E" w14:paraId="358FDB81" w14:textId="77777777" w:rsidTr="00963881">
        <w:tc>
          <w:tcPr>
            <w:tcW w:w="5868" w:type="dxa"/>
            <w:gridSpan w:val="4"/>
            <w:shd w:val="clear" w:color="auto" w:fill="FFFF99"/>
          </w:tcPr>
          <w:p w14:paraId="7B6A3C15" w14:textId="77777777" w:rsidR="002F2E1E" w:rsidRDefault="002F2E1E" w:rsidP="00963881">
            <w:pPr>
              <w:jc w:val="center"/>
            </w:pPr>
            <w:r>
              <w:t>Vzdražni prag za okus</w:t>
            </w:r>
          </w:p>
        </w:tc>
      </w:tr>
      <w:tr w:rsidR="002F2E1E" w14:paraId="3CEB6A3A" w14:textId="77777777" w:rsidTr="00963881">
        <w:tc>
          <w:tcPr>
            <w:tcW w:w="2934" w:type="dxa"/>
            <w:gridSpan w:val="2"/>
            <w:shd w:val="clear" w:color="auto" w:fill="CCFFCC"/>
          </w:tcPr>
          <w:p w14:paraId="6AE4B0AA" w14:textId="77777777" w:rsidR="002F2E1E" w:rsidRDefault="002F2E1E" w:rsidP="00963881">
            <w:pPr>
              <w:jc w:val="center"/>
            </w:pPr>
            <w:r>
              <w:t>Sladkor</w:t>
            </w:r>
          </w:p>
        </w:tc>
        <w:tc>
          <w:tcPr>
            <w:tcW w:w="2934" w:type="dxa"/>
            <w:gridSpan w:val="2"/>
            <w:shd w:val="clear" w:color="auto" w:fill="CC99FF"/>
          </w:tcPr>
          <w:p w14:paraId="625A4A90" w14:textId="77777777" w:rsidR="002F2E1E" w:rsidRDefault="002F2E1E" w:rsidP="00963881">
            <w:pPr>
              <w:jc w:val="center"/>
            </w:pPr>
            <w:r>
              <w:t>Sol</w:t>
            </w:r>
          </w:p>
        </w:tc>
      </w:tr>
      <w:tr w:rsidR="00963881" w14:paraId="5E96C08D" w14:textId="77777777" w:rsidTr="00963881">
        <w:tc>
          <w:tcPr>
            <w:tcW w:w="1467" w:type="dxa"/>
            <w:shd w:val="clear" w:color="auto" w:fill="auto"/>
          </w:tcPr>
          <w:p w14:paraId="2E570CD6" w14:textId="77777777" w:rsidR="002F2E1E" w:rsidRDefault="002F2E1E" w:rsidP="00963881">
            <w:pPr>
              <w:jc w:val="center"/>
            </w:pPr>
            <w:r>
              <w:t>Prag</w:t>
            </w:r>
          </w:p>
        </w:tc>
        <w:tc>
          <w:tcPr>
            <w:tcW w:w="1467" w:type="dxa"/>
            <w:shd w:val="clear" w:color="auto" w:fill="auto"/>
          </w:tcPr>
          <w:p w14:paraId="5C943872" w14:textId="77777777" w:rsidR="002F2E1E" w:rsidRDefault="002F2E1E" w:rsidP="00963881">
            <w:pPr>
              <w:jc w:val="center"/>
            </w:pPr>
            <w:r>
              <w:t>Št. osebkov</w:t>
            </w:r>
          </w:p>
        </w:tc>
        <w:tc>
          <w:tcPr>
            <w:tcW w:w="1467" w:type="dxa"/>
            <w:shd w:val="clear" w:color="auto" w:fill="auto"/>
          </w:tcPr>
          <w:p w14:paraId="3D464AED" w14:textId="77777777" w:rsidR="002F2E1E" w:rsidRDefault="002F2E1E" w:rsidP="00963881">
            <w:pPr>
              <w:jc w:val="center"/>
            </w:pPr>
            <w:r>
              <w:t>Prag</w:t>
            </w:r>
          </w:p>
        </w:tc>
        <w:tc>
          <w:tcPr>
            <w:tcW w:w="1467" w:type="dxa"/>
            <w:shd w:val="clear" w:color="auto" w:fill="auto"/>
          </w:tcPr>
          <w:p w14:paraId="4CB533F3" w14:textId="77777777" w:rsidR="002F2E1E" w:rsidRDefault="002F2E1E" w:rsidP="00963881">
            <w:pPr>
              <w:jc w:val="center"/>
            </w:pPr>
            <w:r>
              <w:t>Št. osebkov</w:t>
            </w:r>
          </w:p>
        </w:tc>
      </w:tr>
      <w:tr w:rsidR="00963881" w14:paraId="78312E1E" w14:textId="77777777" w:rsidTr="00963881">
        <w:tc>
          <w:tcPr>
            <w:tcW w:w="1467" w:type="dxa"/>
            <w:shd w:val="clear" w:color="auto" w:fill="auto"/>
          </w:tcPr>
          <w:p w14:paraId="5865C1CE" w14:textId="77777777" w:rsidR="002F2E1E" w:rsidRDefault="002F2E1E" w:rsidP="00963881">
            <w:pPr>
              <w:jc w:val="center"/>
            </w:pPr>
            <w:r>
              <w:t>0,1</w:t>
            </w:r>
          </w:p>
        </w:tc>
        <w:tc>
          <w:tcPr>
            <w:tcW w:w="1467" w:type="dxa"/>
            <w:shd w:val="clear" w:color="auto" w:fill="auto"/>
          </w:tcPr>
          <w:p w14:paraId="52C8DAD8" w14:textId="77777777" w:rsidR="002F2E1E" w:rsidRDefault="002F2E1E" w:rsidP="00963881">
            <w:pPr>
              <w:jc w:val="center"/>
            </w:pPr>
            <w:r>
              <w:t>20</w:t>
            </w:r>
          </w:p>
        </w:tc>
        <w:tc>
          <w:tcPr>
            <w:tcW w:w="1467" w:type="dxa"/>
            <w:shd w:val="clear" w:color="auto" w:fill="auto"/>
          </w:tcPr>
          <w:p w14:paraId="7E807698" w14:textId="77777777" w:rsidR="002F2E1E" w:rsidRDefault="002F2E1E" w:rsidP="00963881">
            <w:pPr>
              <w:jc w:val="center"/>
            </w:pPr>
            <w:r>
              <w:t>0,1</w:t>
            </w:r>
          </w:p>
        </w:tc>
        <w:tc>
          <w:tcPr>
            <w:tcW w:w="1467" w:type="dxa"/>
            <w:shd w:val="clear" w:color="auto" w:fill="auto"/>
          </w:tcPr>
          <w:p w14:paraId="2152952A" w14:textId="77777777" w:rsidR="002F2E1E" w:rsidRDefault="002F2E1E" w:rsidP="00963881">
            <w:pPr>
              <w:jc w:val="center"/>
            </w:pPr>
            <w:r>
              <w:t>1</w:t>
            </w:r>
          </w:p>
        </w:tc>
      </w:tr>
      <w:tr w:rsidR="00963881" w14:paraId="5737347E" w14:textId="77777777" w:rsidTr="00963881">
        <w:tc>
          <w:tcPr>
            <w:tcW w:w="1467" w:type="dxa"/>
            <w:shd w:val="clear" w:color="auto" w:fill="auto"/>
          </w:tcPr>
          <w:p w14:paraId="11C32824" w14:textId="77777777" w:rsidR="002F2E1E" w:rsidRDefault="002F2E1E" w:rsidP="00963881">
            <w:pPr>
              <w:jc w:val="center"/>
            </w:pPr>
            <w:r>
              <w:t>0,01</w:t>
            </w:r>
          </w:p>
        </w:tc>
        <w:tc>
          <w:tcPr>
            <w:tcW w:w="1467" w:type="dxa"/>
            <w:shd w:val="clear" w:color="auto" w:fill="auto"/>
          </w:tcPr>
          <w:p w14:paraId="06E7AEA5" w14:textId="77777777" w:rsidR="002F2E1E" w:rsidRDefault="002F2E1E" w:rsidP="00963881">
            <w:pPr>
              <w:jc w:val="center"/>
            </w:pPr>
            <w:r>
              <w:t>4</w:t>
            </w:r>
          </w:p>
        </w:tc>
        <w:tc>
          <w:tcPr>
            <w:tcW w:w="1467" w:type="dxa"/>
            <w:shd w:val="clear" w:color="auto" w:fill="auto"/>
          </w:tcPr>
          <w:p w14:paraId="0123A0F3" w14:textId="77777777" w:rsidR="002F2E1E" w:rsidRDefault="002F2E1E" w:rsidP="00963881">
            <w:pPr>
              <w:jc w:val="center"/>
            </w:pPr>
            <w:r>
              <w:t>0,05</w:t>
            </w:r>
          </w:p>
        </w:tc>
        <w:tc>
          <w:tcPr>
            <w:tcW w:w="1467" w:type="dxa"/>
            <w:shd w:val="clear" w:color="auto" w:fill="auto"/>
          </w:tcPr>
          <w:p w14:paraId="4EE235CF" w14:textId="77777777" w:rsidR="002F2E1E" w:rsidRDefault="002F2E1E" w:rsidP="00963881">
            <w:pPr>
              <w:jc w:val="center"/>
            </w:pPr>
            <w:r>
              <w:t>5</w:t>
            </w:r>
          </w:p>
        </w:tc>
      </w:tr>
      <w:tr w:rsidR="00963881" w14:paraId="012C7112" w14:textId="77777777" w:rsidTr="00963881">
        <w:tc>
          <w:tcPr>
            <w:tcW w:w="1467" w:type="dxa"/>
            <w:shd w:val="clear" w:color="auto" w:fill="auto"/>
          </w:tcPr>
          <w:p w14:paraId="7BE5B976" w14:textId="77777777" w:rsidR="002F2E1E" w:rsidRDefault="002F2E1E" w:rsidP="00963881">
            <w:pPr>
              <w:jc w:val="center"/>
            </w:pPr>
            <w:r>
              <w:t>0,005</w:t>
            </w:r>
          </w:p>
        </w:tc>
        <w:tc>
          <w:tcPr>
            <w:tcW w:w="1467" w:type="dxa"/>
            <w:shd w:val="clear" w:color="auto" w:fill="auto"/>
          </w:tcPr>
          <w:p w14:paraId="3708CF17" w14:textId="77777777" w:rsidR="002F2E1E" w:rsidRDefault="002F2E1E" w:rsidP="00963881">
            <w:pPr>
              <w:jc w:val="center"/>
            </w:pPr>
            <w:r>
              <w:t>1</w:t>
            </w:r>
          </w:p>
        </w:tc>
        <w:tc>
          <w:tcPr>
            <w:tcW w:w="1467" w:type="dxa"/>
            <w:shd w:val="clear" w:color="auto" w:fill="auto"/>
          </w:tcPr>
          <w:p w14:paraId="67FD7C7F" w14:textId="77777777" w:rsidR="002F2E1E" w:rsidRDefault="002F2E1E" w:rsidP="00963881">
            <w:pPr>
              <w:jc w:val="center"/>
            </w:pPr>
            <w:r>
              <w:t>0,03</w:t>
            </w:r>
          </w:p>
        </w:tc>
        <w:tc>
          <w:tcPr>
            <w:tcW w:w="1467" w:type="dxa"/>
            <w:shd w:val="clear" w:color="auto" w:fill="auto"/>
          </w:tcPr>
          <w:p w14:paraId="029DF77F" w14:textId="77777777" w:rsidR="002F2E1E" w:rsidRDefault="002F2E1E" w:rsidP="00963881">
            <w:pPr>
              <w:jc w:val="center"/>
            </w:pPr>
            <w:r>
              <w:t>16</w:t>
            </w:r>
          </w:p>
        </w:tc>
      </w:tr>
      <w:tr w:rsidR="00963881" w14:paraId="01300083" w14:textId="77777777" w:rsidTr="00963881">
        <w:tc>
          <w:tcPr>
            <w:tcW w:w="1467" w:type="dxa"/>
            <w:shd w:val="clear" w:color="auto" w:fill="auto"/>
          </w:tcPr>
          <w:p w14:paraId="20FA8048" w14:textId="77777777" w:rsidR="002F2E1E" w:rsidRDefault="002F2E1E" w:rsidP="00963881"/>
        </w:tc>
        <w:tc>
          <w:tcPr>
            <w:tcW w:w="1467" w:type="dxa"/>
            <w:shd w:val="clear" w:color="auto" w:fill="auto"/>
          </w:tcPr>
          <w:p w14:paraId="4518123B" w14:textId="77777777" w:rsidR="002F2E1E" w:rsidRDefault="002F2E1E" w:rsidP="00963881"/>
        </w:tc>
        <w:tc>
          <w:tcPr>
            <w:tcW w:w="1467" w:type="dxa"/>
            <w:shd w:val="clear" w:color="auto" w:fill="auto"/>
          </w:tcPr>
          <w:p w14:paraId="47804474" w14:textId="77777777" w:rsidR="002F2E1E" w:rsidRDefault="002F2E1E" w:rsidP="00963881">
            <w:pPr>
              <w:jc w:val="center"/>
            </w:pPr>
            <w:r>
              <w:t>0,01</w:t>
            </w:r>
          </w:p>
        </w:tc>
        <w:tc>
          <w:tcPr>
            <w:tcW w:w="1467" w:type="dxa"/>
            <w:shd w:val="clear" w:color="auto" w:fill="auto"/>
          </w:tcPr>
          <w:p w14:paraId="1ECEDE39" w14:textId="77777777" w:rsidR="002F2E1E" w:rsidRDefault="002F2E1E" w:rsidP="00963881">
            <w:pPr>
              <w:jc w:val="center"/>
            </w:pPr>
            <w:r>
              <w:t>1</w:t>
            </w:r>
          </w:p>
        </w:tc>
      </w:tr>
      <w:tr w:rsidR="00963881" w14:paraId="2F6E017B" w14:textId="77777777" w:rsidTr="00963881">
        <w:tc>
          <w:tcPr>
            <w:tcW w:w="1467" w:type="dxa"/>
            <w:shd w:val="clear" w:color="auto" w:fill="auto"/>
          </w:tcPr>
          <w:p w14:paraId="29903FDD" w14:textId="77777777" w:rsidR="002F2E1E" w:rsidRDefault="002F2E1E" w:rsidP="00963881"/>
        </w:tc>
        <w:tc>
          <w:tcPr>
            <w:tcW w:w="1467" w:type="dxa"/>
            <w:shd w:val="clear" w:color="auto" w:fill="auto"/>
          </w:tcPr>
          <w:p w14:paraId="1DEEC373" w14:textId="77777777" w:rsidR="002F2E1E" w:rsidRDefault="002F2E1E" w:rsidP="00963881"/>
        </w:tc>
        <w:tc>
          <w:tcPr>
            <w:tcW w:w="1467" w:type="dxa"/>
            <w:shd w:val="clear" w:color="auto" w:fill="auto"/>
          </w:tcPr>
          <w:p w14:paraId="6BCCE0AA" w14:textId="77777777" w:rsidR="002F2E1E" w:rsidRDefault="002F2E1E" w:rsidP="00963881">
            <w:pPr>
              <w:jc w:val="center"/>
            </w:pPr>
            <w:r>
              <w:t>0,005</w:t>
            </w:r>
          </w:p>
        </w:tc>
        <w:tc>
          <w:tcPr>
            <w:tcW w:w="1467" w:type="dxa"/>
            <w:shd w:val="clear" w:color="auto" w:fill="auto"/>
          </w:tcPr>
          <w:p w14:paraId="2DD3BFB3" w14:textId="77777777" w:rsidR="002F2E1E" w:rsidRDefault="002F2E1E" w:rsidP="00963881">
            <w:pPr>
              <w:jc w:val="center"/>
            </w:pPr>
            <w:r>
              <w:t>2</w:t>
            </w:r>
          </w:p>
        </w:tc>
      </w:tr>
    </w:tbl>
    <w:p w14:paraId="2A3BA227" w14:textId="77777777" w:rsidR="003E0616" w:rsidRDefault="002F2E1E" w:rsidP="00523D32">
      <w:r>
        <w:t xml:space="preserve">Spodnja tabela </w:t>
      </w:r>
      <w:r w:rsidR="008D2D72">
        <w:t>prikazuje (za sladko in slano) koliko osebkov ima vzdražni prag pri nekih vrednostih. To število jasno ni bilo pri vseh enako.</w:t>
      </w:r>
      <w:r w:rsidR="00A83004">
        <w:t xml:space="preserve"> Mirno pa lahko trdimo, da je pri večini vzdražni prag za sladkor 0,1 M sladkorna raztopina in za slano 0,03 M raztopina kuhinjske soli.</w:t>
      </w:r>
    </w:p>
    <w:p w14:paraId="4CC87D2C" w14:textId="77777777" w:rsidR="00A83004" w:rsidRDefault="00A83004" w:rsidP="00523D32">
      <w:r>
        <w:t>Pri sladkem obstaja nekaj posameznikov, ki imajo celo nižji prag od večine, pri slanem pa obstajajo tako tisti, ki imajo prag višje, kot tudi tisti, ki imajo prag nižje.</w:t>
      </w:r>
      <w:r w:rsidR="00114CCA">
        <w:t xml:space="preserve"> Zanimivo je, da imajo tisti 3-je, ki imajo nižje prag pri soli, tudi nižje prag pri sladkorju. Tistih ki imajo višji prag pri soli pa ni med tistimi, ki imajo pri sladkorju prag nižje.</w:t>
      </w:r>
    </w:p>
    <w:p w14:paraId="4276D401" w14:textId="77777777" w:rsidR="00E53044" w:rsidRDefault="00E53044" w:rsidP="00E17C59">
      <w:pPr>
        <w:pStyle w:val="Heading1"/>
      </w:pPr>
      <w:r w:rsidRPr="00E17C59">
        <w:lastRenderedPageBreak/>
        <w:t>Zaklju</w:t>
      </w:r>
      <w:r w:rsidR="00E17C59">
        <w:t>č</w:t>
      </w:r>
      <w:r w:rsidRPr="00E17C59">
        <w:t>ek</w:t>
      </w:r>
    </w:p>
    <w:p w14:paraId="63B00E17" w14:textId="77777777" w:rsidR="00316642" w:rsidRDefault="00E7276A" w:rsidP="00E53044">
      <w:r>
        <w:t>Iz te vaje lahko potegnemo naslednje zaključke:</w:t>
      </w:r>
    </w:p>
    <w:p w14:paraId="74197F7D" w14:textId="77777777" w:rsidR="00E7276A" w:rsidRDefault="00E7276A" w:rsidP="00E7276A">
      <w:pPr>
        <w:numPr>
          <w:ilvl w:val="0"/>
          <w:numId w:val="2"/>
        </w:numPr>
      </w:pPr>
      <w:r>
        <w:t>Stvari, ki jih slina ne razgradi ne okusimo.</w:t>
      </w:r>
    </w:p>
    <w:p w14:paraId="113CD746" w14:textId="77777777" w:rsidR="00E7276A" w:rsidRDefault="00E7276A" w:rsidP="00E7276A">
      <w:pPr>
        <w:numPr>
          <w:ilvl w:val="0"/>
          <w:numId w:val="2"/>
        </w:numPr>
      </w:pPr>
      <w:r>
        <w:t>Samo čutilo za okus ne zadošča za ugotavljanja vrste hrane. Tega mora dopolnjevati čutilo za vonj.</w:t>
      </w:r>
    </w:p>
    <w:p w14:paraId="661B4B74" w14:textId="77777777" w:rsidR="00E7276A" w:rsidRDefault="00E7276A" w:rsidP="00E7276A">
      <w:pPr>
        <w:numPr>
          <w:ilvl w:val="0"/>
          <w:numId w:val="2"/>
        </w:numPr>
      </w:pPr>
      <w:r>
        <w:t>Jezik nima po vsej površini enakomerno razporejenih čutilnic iste vrste. Te se združujejo v regije, ki so potem razporejene po jeziku. Verjetno pri vseh ljudeh na enak način.</w:t>
      </w:r>
    </w:p>
    <w:p w14:paraId="402A95BB" w14:textId="77777777" w:rsidR="00E7276A" w:rsidRPr="00E53044" w:rsidRDefault="00E7276A" w:rsidP="00E7276A">
      <w:pPr>
        <w:numPr>
          <w:ilvl w:val="0"/>
          <w:numId w:val="2"/>
        </w:numPr>
      </w:pPr>
      <w:r>
        <w:t>Večina ljudi ima prag za okus približno enak. Obstajajo tudi posamezniki, ki že pri nižji koncentraciji snovi razpoznajo okus.</w:t>
      </w:r>
    </w:p>
    <w:sectPr w:rsidR="00E7276A" w:rsidRPr="00E53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D687E"/>
    <w:multiLevelType w:val="hybridMultilevel"/>
    <w:tmpl w:val="D3D64F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9F468E6"/>
    <w:multiLevelType w:val="hybridMultilevel"/>
    <w:tmpl w:val="78582F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044"/>
    <w:rsid w:val="00063984"/>
    <w:rsid w:val="00114CCA"/>
    <w:rsid w:val="00180735"/>
    <w:rsid w:val="00202BBA"/>
    <w:rsid w:val="002126BF"/>
    <w:rsid w:val="002F2E1E"/>
    <w:rsid w:val="00306A63"/>
    <w:rsid w:val="00316642"/>
    <w:rsid w:val="003C1868"/>
    <w:rsid w:val="003E0616"/>
    <w:rsid w:val="00484148"/>
    <w:rsid w:val="004C7652"/>
    <w:rsid w:val="00523D32"/>
    <w:rsid w:val="005252CC"/>
    <w:rsid w:val="005457D7"/>
    <w:rsid w:val="005C7178"/>
    <w:rsid w:val="00691DE4"/>
    <w:rsid w:val="006B1C70"/>
    <w:rsid w:val="00784063"/>
    <w:rsid w:val="008876AD"/>
    <w:rsid w:val="008D2D72"/>
    <w:rsid w:val="008D3920"/>
    <w:rsid w:val="00937CD3"/>
    <w:rsid w:val="00956407"/>
    <w:rsid w:val="00963881"/>
    <w:rsid w:val="00A128FD"/>
    <w:rsid w:val="00A731FD"/>
    <w:rsid w:val="00A83004"/>
    <w:rsid w:val="00AD1E75"/>
    <w:rsid w:val="00B06B4F"/>
    <w:rsid w:val="00D11BFC"/>
    <w:rsid w:val="00D67946"/>
    <w:rsid w:val="00DB1628"/>
    <w:rsid w:val="00E03BEC"/>
    <w:rsid w:val="00E17C59"/>
    <w:rsid w:val="00E53044"/>
    <w:rsid w:val="00E7276A"/>
    <w:rsid w:val="00F25802"/>
    <w:rsid w:val="00F5258A"/>
    <w:rsid w:val="00F754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11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17C59"/>
    <w:pPr>
      <w:keepNext/>
      <w:spacing w:before="240" w:after="60"/>
      <w:outlineLvl w:val="0"/>
    </w:pPr>
    <w:rPr>
      <w:rFonts w:ascii="Arial" w:hAnsi="Arial" w:cs="Arial"/>
      <w:b/>
      <w:bCs/>
      <w:color w:val="3366F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