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323FA" w14:textId="77777777" w:rsidR="00A420B2" w:rsidRDefault="00A420B2">
      <w:bookmarkStart w:id="0" w:name="_GoBack"/>
      <w:bookmarkEnd w:id="0"/>
    </w:p>
    <w:p w14:paraId="1DE7F993" w14:textId="77777777" w:rsidR="00A420B2" w:rsidRDefault="00A420B2">
      <w:pPr>
        <w:jc w:val="center"/>
        <w:rPr>
          <w:b/>
          <w:bCs/>
          <w:sz w:val="72"/>
        </w:rPr>
      </w:pPr>
    </w:p>
    <w:p w14:paraId="675E4861" w14:textId="77777777" w:rsidR="00A420B2" w:rsidRDefault="00A420B2">
      <w:pPr>
        <w:jc w:val="center"/>
        <w:rPr>
          <w:b/>
          <w:bCs/>
          <w:sz w:val="72"/>
        </w:rPr>
      </w:pPr>
    </w:p>
    <w:p w14:paraId="270B921F" w14:textId="77777777" w:rsidR="00A420B2" w:rsidRDefault="00A420B2">
      <w:pPr>
        <w:jc w:val="center"/>
        <w:rPr>
          <w:b/>
          <w:sz w:val="80"/>
        </w:rPr>
      </w:pPr>
      <w:r>
        <w:rPr>
          <w:sz w:val="72"/>
        </w:rPr>
        <w:t xml:space="preserve">POROČILO O VAJI: </w:t>
      </w:r>
    </w:p>
    <w:p w14:paraId="01F183C9" w14:textId="77777777" w:rsidR="00E5251A" w:rsidRPr="00CA6E12" w:rsidRDefault="00E5251A">
      <w:pPr>
        <w:jc w:val="center"/>
        <w:rPr>
          <w:bCs/>
          <w:sz w:val="80"/>
        </w:rPr>
      </w:pPr>
      <w:r>
        <w:rPr>
          <w:b/>
          <w:sz w:val="80"/>
        </w:rPr>
        <w:t>MERJENJE KOMPENZACIJSKE TOČKE FOTOSINTEZE</w:t>
      </w:r>
    </w:p>
    <w:p w14:paraId="2959654D" w14:textId="77777777" w:rsidR="00A420B2" w:rsidRDefault="00A420B2">
      <w:pPr>
        <w:jc w:val="center"/>
        <w:rPr>
          <w:b/>
          <w:bCs/>
          <w:sz w:val="80"/>
        </w:rPr>
      </w:pPr>
    </w:p>
    <w:p w14:paraId="6590060D" w14:textId="77777777" w:rsidR="00A420B2" w:rsidRDefault="00A420B2">
      <w:pPr>
        <w:jc w:val="center"/>
        <w:rPr>
          <w:sz w:val="80"/>
        </w:rPr>
      </w:pPr>
    </w:p>
    <w:p w14:paraId="614511B6" w14:textId="400EE66F" w:rsidR="00A420B2" w:rsidRDefault="00FF4CE6">
      <w:pPr>
        <w:pStyle w:val="Heading1"/>
      </w:pPr>
      <w:r>
        <w:rPr>
          <w:b w:val="0"/>
          <w:bCs w:val="0"/>
        </w:rPr>
        <w:t xml:space="preserve"> </w:t>
      </w:r>
    </w:p>
    <w:p w14:paraId="31C57006" w14:textId="77777777" w:rsidR="00A420B2" w:rsidRDefault="00A420B2"/>
    <w:p w14:paraId="7E676826" w14:textId="77777777" w:rsidR="00A420B2" w:rsidRDefault="00A420B2"/>
    <w:p w14:paraId="60136F11" w14:textId="77777777" w:rsidR="00A420B2" w:rsidRDefault="00A420B2"/>
    <w:p w14:paraId="6498C35A" w14:textId="77777777" w:rsidR="00A420B2" w:rsidRDefault="00A420B2"/>
    <w:p w14:paraId="538B4E47" w14:textId="77777777" w:rsidR="00A420B2" w:rsidRDefault="00A420B2"/>
    <w:p w14:paraId="2246D9EE" w14:textId="77777777" w:rsidR="00A420B2" w:rsidRDefault="00A420B2"/>
    <w:p w14:paraId="132334AA" w14:textId="77777777" w:rsidR="00A420B2" w:rsidRDefault="00A420B2"/>
    <w:p w14:paraId="48A80FE2" w14:textId="77777777" w:rsidR="00A420B2" w:rsidRDefault="00A420B2"/>
    <w:p w14:paraId="72763ECB" w14:textId="77777777" w:rsidR="00A420B2" w:rsidRDefault="00A420B2"/>
    <w:p w14:paraId="3D53EEF4" w14:textId="77777777" w:rsidR="00A420B2" w:rsidRDefault="00A420B2"/>
    <w:p w14:paraId="5802CE32" w14:textId="77777777" w:rsidR="00A420B2" w:rsidRDefault="00A420B2"/>
    <w:p w14:paraId="7EAD3FE8" w14:textId="77777777" w:rsidR="00A420B2" w:rsidRDefault="00A420B2"/>
    <w:p w14:paraId="5779AF20" w14:textId="77777777" w:rsidR="00A420B2" w:rsidRDefault="00A420B2"/>
    <w:p w14:paraId="7240449A" w14:textId="77777777" w:rsidR="00A420B2" w:rsidRDefault="00A420B2"/>
    <w:p w14:paraId="2694A9F4" w14:textId="77777777" w:rsidR="00A420B2" w:rsidRDefault="00A420B2"/>
    <w:p w14:paraId="3048BF99" w14:textId="77777777" w:rsidR="00A420B2" w:rsidRDefault="00A420B2"/>
    <w:p w14:paraId="71EB0EC5" w14:textId="77777777" w:rsidR="00A420B2" w:rsidRDefault="00A420B2"/>
    <w:p w14:paraId="61A292A0" w14:textId="77777777" w:rsidR="00A420B2" w:rsidRDefault="00A420B2"/>
    <w:p w14:paraId="34DFF618" w14:textId="77777777" w:rsidR="00A420B2" w:rsidRDefault="00A420B2"/>
    <w:p w14:paraId="0EF0B4C3" w14:textId="77777777" w:rsidR="00A420B2" w:rsidRDefault="00A420B2"/>
    <w:p w14:paraId="43535F9A" w14:textId="77777777" w:rsidR="00A420B2" w:rsidRDefault="00A420B2"/>
    <w:p w14:paraId="1615CB2B" w14:textId="77777777" w:rsidR="00A420B2" w:rsidRDefault="00A420B2"/>
    <w:p w14:paraId="5D1FFE9F" w14:textId="77777777" w:rsidR="00A420B2" w:rsidRDefault="00A420B2">
      <w:pPr>
        <w:pStyle w:val="Heading3"/>
      </w:pPr>
      <w:r>
        <w:t>UVOD</w:t>
      </w:r>
    </w:p>
    <w:p w14:paraId="2F77F6F9" w14:textId="77777777" w:rsidR="00A420B2" w:rsidRDefault="00A420B2">
      <w:r>
        <w:t xml:space="preserve">Pri pouku biologije smo delali vajo z naslovom </w:t>
      </w:r>
      <w:r w:rsidR="00E5251A">
        <w:t>merjenje kompenzacijske točke fotosinteze</w:t>
      </w:r>
      <w:r w:rsidR="00CA6E12">
        <w:t>.</w:t>
      </w:r>
    </w:p>
    <w:p w14:paraId="284A86CD" w14:textId="77777777" w:rsidR="00A420B2" w:rsidRDefault="00A420B2">
      <w:r>
        <w:t>Cilji vaje:</w:t>
      </w:r>
    </w:p>
    <w:p w14:paraId="4E221FDE" w14:textId="77777777" w:rsidR="00A420B2" w:rsidRDefault="00E5251A">
      <w:pPr>
        <w:numPr>
          <w:ilvl w:val="0"/>
          <w:numId w:val="1"/>
        </w:numPr>
      </w:pPr>
      <w:r>
        <w:t>Poiskati količino svetlobe, pri kateri je poraba CO</w:t>
      </w:r>
      <w:r>
        <w:rPr>
          <w:vertAlign w:val="subscript"/>
        </w:rPr>
        <w:t>2</w:t>
      </w:r>
      <w:r>
        <w:t xml:space="preserve"> za fotosintetske reakcije enaka izločanju le-tega pri celičnem dihanju</w:t>
      </w:r>
    </w:p>
    <w:p w14:paraId="0E2D66BC" w14:textId="77777777" w:rsidR="00A420B2" w:rsidRDefault="00A420B2">
      <w:pPr>
        <w:numPr>
          <w:ilvl w:val="0"/>
          <w:numId w:val="1"/>
        </w:numPr>
      </w:pPr>
      <w:r>
        <w:t>najti in analizirati morebitne napake</w:t>
      </w:r>
    </w:p>
    <w:p w14:paraId="7ECB0107" w14:textId="77777777" w:rsidR="00A420B2" w:rsidRDefault="00A420B2">
      <w:pPr>
        <w:numPr>
          <w:ilvl w:val="0"/>
          <w:numId w:val="1"/>
        </w:numPr>
      </w:pPr>
      <w:r>
        <w:t>razmisliti o rezultatih</w:t>
      </w:r>
    </w:p>
    <w:p w14:paraId="4CF3555D" w14:textId="77777777" w:rsidR="00A420B2" w:rsidRDefault="00A420B2"/>
    <w:p w14:paraId="2E1EB950" w14:textId="77777777" w:rsidR="00A420B2" w:rsidRDefault="00A420B2">
      <w:pPr>
        <w:pStyle w:val="Heading3"/>
      </w:pPr>
      <w:r>
        <w:t>POSTOPEK DELA</w:t>
      </w:r>
    </w:p>
    <w:p w14:paraId="6BB7F472" w14:textId="77777777" w:rsidR="00CA6E12" w:rsidRDefault="009248B7">
      <w:r>
        <w:t xml:space="preserve">Meritve smo opravljali z listi bršljana in trobentice, pri svetlobnih jakostih 20, 100, 550 in 2000 LUX. </w:t>
      </w:r>
    </w:p>
    <w:p w14:paraId="0B29B713" w14:textId="77777777" w:rsidR="009248B7" w:rsidRDefault="009248B7">
      <w:r>
        <w:t>Ostali napotki so na priloženem listu</w:t>
      </w:r>
    </w:p>
    <w:p w14:paraId="5A60F88A" w14:textId="77777777" w:rsidR="00CA6E12" w:rsidRDefault="00CA6E12"/>
    <w:p w14:paraId="552BBF84" w14:textId="77777777" w:rsidR="00CA6E12" w:rsidRDefault="00CA6E12" w:rsidP="00CA6E12">
      <w:pPr>
        <w:pStyle w:val="Heading3"/>
      </w:pPr>
      <w:r>
        <w:t>REZULTATI</w:t>
      </w:r>
    </w:p>
    <w:p w14:paraId="0A5F0EB0" w14:textId="77777777" w:rsidR="00CA6E12" w:rsidRDefault="00CA6E12" w:rsidP="00CA6E12"/>
    <w:p w14:paraId="7BC32058" w14:textId="77777777" w:rsidR="009248B7" w:rsidRPr="00CA6E12" w:rsidRDefault="009248B7" w:rsidP="009248B7">
      <w:r>
        <w:t>Tabela 1: pH v odvisnosti od osvetljenosti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01"/>
        <w:gridCol w:w="3001"/>
      </w:tblGrid>
      <w:tr w:rsidR="00C2572E" w14:paraId="4ED3627A" w14:textId="77777777" w:rsidTr="00E75FF8">
        <w:tc>
          <w:tcPr>
            <w:tcW w:w="3001" w:type="dxa"/>
            <w:shd w:val="clear" w:color="auto" w:fill="auto"/>
          </w:tcPr>
          <w:p w14:paraId="07BCC8D5" w14:textId="77777777" w:rsidR="00C2572E" w:rsidRPr="00E75FF8" w:rsidRDefault="00C2572E" w:rsidP="009248B7">
            <w:pPr>
              <w:rPr>
                <w:b/>
              </w:rPr>
            </w:pPr>
            <w:r w:rsidRPr="00E75FF8">
              <w:rPr>
                <w:b/>
              </w:rPr>
              <w:t>LUX</w:t>
            </w:r>
          </w:p>
        </w:tc>
        <w:tc>
          <w:tcPr>
            <w:tcW w:w="3001" w:type="dxa"/>
            <w:shd w:val="clear" w:color="auto" w:fill="auto"/>
          </w:tcPr>
          <w:p w14:paraId="70714667" w14:textId="77777777" w:rsidR="00C2572E" w:rsidRPr="00E75FF8" w:rsidRDefault="00C2572E" w:rsidP="009248B7">
            <w:pPr>
              <w:rPr>
                <w:b/>
              </w:rPr>
            </w:pPr>
            <w:r w:rsidRPr="00E75FF8">
              <w:rPr>
                <w:b/>
              </w:rPr>
              <w:t>BRŠLJAN (pH)</w:t>
            </w:r>
          </w:p>
        </w:tc>
        <w:tc>
          <w:tcPr>
            <w:tcW w:w="3001" w:type="dxa"/>
            <w:shd w:val="clear" w:color="auto" w:fill="auto"/>
          </w:tcPr>
          <w:p w14:paraId="44A6D202" w14:textId="77777777" w:rsidR="00C2572E" w:rsidRPr="00E75FF8" w:rsidRDefault="00C2572E" w:rsidP="009248B7">
            <w:pPr>
              <w:rPr>
                <w:b/>
              </w:rPr>
            </w:pPr>
            <w:r w:rsidRPr="00E75FF8">
              <w:rPr>
                <w:b/>
              </w:rPr>
              <w:t>TROBENTICA (pH)</w:t>
            </w:r>
          </w:p>
        </w:tc>
      </w:tr>
      <w:tr w:rsidR="00C2572E" w14:paraId="21BF62B5" w14:textId="77777777" w:rsidTr="00E75FF8">
        <w:tc>
          <w:tcPr>
            <w:tcW w:w="3001" w:type="dxa"/>
            <w:shd w:val="clear" w:color="auto" w:fill="auto"/>
          </w:tcPr>
          <w:p w14:paraId="1E75D4AA" w14:textId="77777777" w:rsidR="00C2572E" w:rsidRDefault="00C2572E" w:rsidP="009248B7">
            <w:r>
              <w:t>20</w:t>
            </w:r>
          </w:p>
        </w:tc>
        <w:tc>
          <w:tcPr>
            <w:tcW w:w="3001" w:type="dxa"/>
            <w:shd w:val="clear" w:color="auto" w:fill="auto"/>
          </w:tcPr>
          <w:p w14:paraId="296C3847" w14:textId="77777777" w:rsidR="00C2572E" w:rsidRDefault="00C2572E" w:rsidP="009248B7">
            <w:r>
              <w:t>7,4</w:t>
            </w:r>
          </w:p>
        </w:tc>
        <w:tc>
          <w:tcPr>
            <w:tcW w:w="3001" w:type="dxa"/>
            <w:shd w:val="clear" w:color="auto" w:fill="auto"/>
          </w:tcPr>
          <w:p w14:paraId="37B7D050" w14:textId="77777777" w:rsidR="00C2572E" w:rsidRDefault="00C2572E" w:rsidP="009248B7">
            <w:r>
              <w:t>7,2</w:t>
            </w:r>
          </w:p>
        </w:tc>
      </w:tr>
      <w:tr w:rsidR="00C2572E" w14:paraId="352F25A0" w14:textId="77777777" w:rsidTr="00E75FF8">
        <w:tc>
          <w:tcPr>
            <w:tcW w:w="3001" w:type="dxa"/>
            <w:shd w:val="clear" w:color="auto" w:fill="auto"/>
          </w:tcPr>
          <w:p w14:paraId="463A84D5" w14:textId="77777777" w:rsidR="00C2572E" w:rsidRDefault="00C2572E" w:rsidP="009248B7">
            <w:r>
              <w:t>100</w:t>
            </w:r>
          </w:p>
        </w:tc>
        <w:tc>
          <w:tcPr>
            <w:tcW w:w="3001" w:type="dxa"/>
            <w:shd w:val="clear" w:color="auto" w:fill="auto"/>
          </w:tcPr>
          <w:p w14:paraId="4E06B95E" w14:textId="77777777" w:rsidR="00C2572E" w:rsidRDefault="00C2572E" w:rsidP="009248B7">
            <w:r>
              <w:t>7,4</w:t>
            </w:r>
          </w:p>
        </w:tc>
        <w:tc>
          <w:tcPr>
            <w:tcW w:w="3001" w:type="dxa"/>
            <w:shd w:val="clear" w:color="auto" w:fill="auto"/>
          </w:tcPr>
          <w:p w14:paraId="73022AC1" w14:textId="77777777" w:rsidR="00C2572E" w:rsidRDefault="00C2572E" w:rsidP="009248B7">
            <w:r>
              <w:t>7,2</w:t>
            </w:r>
          </w:p>
        </w:tc>
      </w:tr>
      <w:tr w:rsidR="00C2572E" w14:paraId="148C2EF8" w14:textId="77777777" w:rsidTr="00E75FF8">
        <w:tc>
          <w:tcPr>
            <w:tcW w:w="3001" w:type="dxa"/>
            <w:shd w:val="clear" w:color="auto" w:fill="auto"/>
          </w:tcPr>
          <w:p w14:paraId="6CC33A2C" w14:textId="77777777" w:rsidR="00C2572E" w:rsidRDefault="00C2572E" w:rsidP="009248B7">
            <w:r>
              <w:t>550</w:t>
            </w:r>
          </w:p>
        </w:tc>
        <w:tc>
          <w:tcPr>
            <w:tcW w:w="3001" w:type="dxa"/>
            <w:shd w:val="clear" w:color="auto" w:fill="auto"/>
          </w:tcPr>
          <w:p w14:paraId="189B9C07" w14:textId="77777777" w:rsidR="00C2572E" w:rsidRDefault="00C2572E" w:rsidP="009248B7">
            <w:r>
              <w:t>7,6</w:t>
            </w:r>
          </w:p>
        </w:tc>
        <w:tc>
          <w:tcPr>
            <w:tcW w:w="3001" w:type="dxa"/>
            <w:shd w:val="clear" w:color="auto" w:fill="auto"/>
          </w:tcPr>
          <w:p w14:paraId="24BD7DB4" w14:textId="77777777" w:rsidR="00C2572E" w:rsidRDefault="00C2572E" w:rsidP="009248B7">
            <w:r>
              <w:t>7,4</w:t>
            </w:r>
          </w:p>
        </w:tc>
      </w:tr>
      <w:tr w:rsidR="00C2572E" w14:paraId="6AB84F8D" w14:textId="77777777" w:rsidTr="00E75FF8">
        <w:tc>
          <w:tcPr>
            <w:tcW w:w="3001" w:type="dxa"/>
            <w:shd w:val="clear" w:color="auto" w:fill="auto"/>
          </w:tcPr>
          <w:p w14:paraId="60F2ABFF" w14:textId="77777777" w:rsidR="00C2572E" w:rsidRDefault="00C2572E" w:rsidP="009248B7">
            <w:r>
              <w:t>2000</w:t>
            </w:r>
          </w:p>
        </w:tc>
        <w:tc>
          <w:tcPr>
            <w:tcW w:w="3001" w:type="dxa"/>
            <w:shd w:val="clear" w:color="auto" w:fill="auto"/>
          </w:tcPr>
          <w:p w14:paraId="58BD2F8D" w14:textId="77777777" w:rsidR="00C2572E" w:rsidRDefault="00C2572E" w:rsidP="009248B7">
            <w:r>
              <w:t>7,6</w:t>
            </w:r>
          </w:p>
        </w:tc>
        <w:tc>
          <w:tcPr>
            <w:tcW w:w="3001" w:type="dxa"/>
            <w:shd w:val="clear" w:color="auto" w:fill="auto"/>
          </w:tcPr>
          <w:p w14:paraId="6CD60CDC" w14:textId="77777777" w:rsidR="00C2572E" w:rsidRDefault="00C2572E" w:rsidP="009248B7">
            <w:r>
              <w:t>7,4</w:t>
            </w:r>
          </w:p>
        </w:tc>
      </w:tr>
    </w:tbl>
    <w:p w14:paraId="3BD0C956" w14:textId="77777777" w:rsidR="00CC48E9" w:rsidRDefault="00CC48E9" w:rsidP="00CA6E12"/>
    <w:p w14:paraId="53C8BE69" w14:textId="77777777" w:rsidR="00CA6E12" w:rsidRPr="00CA6E12" w:rsidRDefault="009248B7" w:rsidP="00CA6E12">
      <w:r>
        <w:t>Graf</w:t>
      </w:r>
      <w:r w:rsidR="00CA6E12">
        <w:t xml:space="preserve"> 1: </w:t>
      </w:r>
      <w:r>
        <w:t>Sprememba pH v odvisnosti od osvetljenosti</w:t>
      </w:r>
    </w:p>
    <w:p w14:paraId="573D97A3" w14:textId="77777777" w:rsidR="00A420B2" w:rsidRPr="009248B7" w:rsidRDefault="00014675">
      <w:r>
        <w:pict w14:anchorId="4F44D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278.25pt">
            <v:imagedata r:id="rId7" o:title=""/>
          </v:shape>
        </w:pict>
      </w:r>
    </w:p>
    <w:p w14:paraId="70EF2BB8" w14:textId="77777777" w:rsidR="00CA6E12" w:rsidRDefault="00CA6E12"/>
    <w:p w14:paraId="226D1414" w14:textId="77777777" w:rsidR="00CA6E12" w:rsidRDefault="00CA6E12">
      <w:pPr>
        <w:pStyle w:val="Heading3"/>
      </w:pPr>
    </w:p>
    <w:p w14:paraId="4DA7FBD6" w14:textId="77777777" w:rsidR="00A420B2" w:rsidRDefault="00A420B2">
      <w:pPr>
        <w:pStyle w:val="Heading3"/>
      </w:pPr>
      <w:r>
        <w:t>RAZPRAVA</w:t>
      </w:r>
    </w:p>
    <w:p w14:paraId="40751FE7" w14:textId="77777777" w:rsidR="001D5EEC" w:rsidRDefault="001D5EEC">
      <w:r>
        <w:t>Kompenzacijska točka fotosinteze je dosežena takrat, ko je količina CO</w:t>
      </w:r>
      <w:r>
        <w:rPr>
          <w:vertAlign w:val="subscript"/>
        </w:rPr>
        <w:t xml:space="preserve">2 </w:t>
      </w:r>
      <w:r>
        <w:t>nastalega pri celičnem dihanju enaka porabi le-tega pri fotosintezi. To točko smo iskali glede na različno osvetljenost listov bršljana in trobentice.</w:t>
      </w:r>
    </w:p>
    <w:p w14:paraId="6855AE9E" w14:textId="77777777" w:rsidR="001D5EEC" w:rsidRDefault="001D5EEC">
      <w:r>
        <w:t xml:space="preserve"> Začeten pH raztopine je bil 7,6. Če se je pH zmanjšal to pomeni, da pri dihanju nastane več CO</w:t>
      </w:r>
      <w:r>
        <w:rPr>
          <w:vertAlign w:val="subscript"/>
        </w:rPr>
        <w:t>2</w:t>
      </w:r>
      <w:r>
        <w:t>, če pa se je pH povečal, pomeni da se je več CO</w:t>
      </w:r>
      <w:r>
        <w:rPr>
          <w:vertAlign w:val="subscript"/>
        </w:rPr>
        <w:t>2</w:t>
      </w:r>
      <w:r>
        <w:t xml:space="preserve"> porabilo pri fotosintezi.</w:t>
      </w:r>
    </w:p>
    <w:p w14:paraId="3A18CB1A" w14:textId="77777777" w:rsidR="001D5EEC" w:rsidRDefault="001D5EEC">
      <w:r>
        <w:t xml:space="preserve"> Rezultati nam kažejo, da je pri bršljanu kompenzacijska točka dosežena pri osvetlitvi 550 in 2000 LUX, pri trobentici pa ta točka ni dosežena niti pri 2000 LUX, pri tej osvetlitvi pri dihanju še vedno nastaja več CO</w:t>
      </w:r>
      <w:r>
        <w:rPr>
          <w:vertAlign w:val="subscript"/>
        </w:rPr>
        <w:t>2</w:t>
      </w:r>
      <w:r>
        <w:t>, kot se ga porablja pri fotosintezi.</w:t>
      </w:r>
    </w:p>
    <w:p w14:paraId="643466E8" w14:textId="77777777" w:rsidR="001D5EEC" w:rsidRDefault="001D5EEC">
      <w:r>
        <w:t xml:space="preserve"> Moramo pa se zavedati, da na jakost fotosintetskih reakcij ne vpliva samo osvetlitev, temveč tudi drugi dejavniki, predvsem temperatura. Ta pa je pri našem poskusu nihala le v razponu 1°C, kar je zanemarljivo. </w:t>
      </w:r>
    </w:p>
    <w:p w14:paraId="495CB08A" w14:textId="77777777" w:rsidR="001D5EEC" w:rsidRPr="001D5EEC" w:rsidRDefault="001D5EEC">
      <w:r>
        <w:t xml:space="preserve"> Točnost rezultatov, je lahko ogrožena tudi zato, ker osvetlitev listov ni bila enaka skozi cel poizkus, saj je to v razredu nemogoče. </w:t>
      </w:r>
    </w:p>
    <w:p w14:paraId="03ED8B4F" w14:textId="77777777" w:rsidR="00A420B2" w:rsidRDefault="00A420B2">
      <w:pPr>
        <w:pStyle w:val="Heading3"/>
      </w:pPr>
      <w:r>
        <w:t>ZAKLJUČEK</w:t>
      </w:r>
    </w:p>
    <w:p w14:paraId="4B05FBC3" w14:textId="77777777" w:rsidR="00A420B2" w:rsidRDefault="001D5EEC">
      <w:r>
        <w:t>V našem poizkusu smo našli kompenzacijsko točko fotosinteze za bršljan, ter ugotovili, da je ta točka za trobentico pri osvetlitvi močneji od 2000 LUX. Analizirali smo tudi dejavnike, ki so vplivali na naše rezultate.</w:t>
      </w:r>
    </w:p>
    <w:p w14:paraId="3F984C2B" w14:textId="77777777" w:rsidR="00A420B2" w:rsidRDefault="00A420B2">
      <w:pPr>
        <w:pStyle w:val="Heading3"/>
      </w:pPr>
      <w:r>
        <w:t>VIRI</w:t>
      </w:r>
    </w:p>
    <w:p w14:paraId="50AEEFC7" w14:textId="77777777" w:rsidR="00A420B2" w:rsidRDefault="00A420B2">
      <w:pPr>
        <w:numPr>
          <w:ilvl w:val="0"/>
          <w:numId w:val="1"/>
        </w:numPr>
      </w:pPr>
      <w:r>
        <w:t>list z navodili za vajo</w:t>
      </w:r>
    </w:p>
    <w:p w14:paraId="62317D2F" w14:textId="77777777" w:rsidR="00A420B2" w:rsidRDefault="00A420B2">
      <w:pPr>
        <w:numPr>
          <w:ilvl w:val="0"/>
          <w:numId w:val="1"/>
        </w:numPr>
      </w:pPr>
      <w:r>
        <w:t>lastni zapiski</w:t>
      </w:r>
    </w:p>
    <w:p w14:paraId="1F9C5063" w14:textId="77777777" w:rsidR="00A420B2" w:rsidRDefault="00A420B2">
      <w:pPr>
        <w:numPr>
          <w:ilvl w:val="0"/>
          <w:numId w:val="1"/>
        </w:numPr>
      </w:pPr>
      <w:r>
        <w:t>navodila profesorice</w:t>
      </w:r>
    </w:p>
    <w:p w14:paraId="4AC4B769" w14:textId="77777777" w:rsidR="00A420B2" w:rsidRDefault="00A420B2" w:rsidP="00F0229B">
      <w:pPr>
        <w:ind w:left="360"/>
      </w:pPr>
    </w:p>
    <w:p w14:paraId="77BD21FD" w14:textId="77777777" w:rsidR="00A420B2" w:rsidRDefault="00A420B2"/>
    <w:p w14:paraId="2DCDE7DD" w14:textId="77777777" w:rsidR="00A420B2" w:rsidRDefault="00A420B2"/>
    <w:sectPr w:rsidR="00A420B2">
      <w:footerReference w:type="even" r:id="rId8"/>
      <w:footerReference w:type="default" r:id="rId9"/>
      <w:pgSz w:w="11906" w:h="16838"/>
      <w:pgMar w:top="1418" w:right="1701" w:bottom="909" w:left="1418" w:header="708" w:footer="708" w:gutter="0"/>
      <w:cols w:space="708"/>
      <w:docGrid w:linePitch="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6E15D" w14:textId="77777777" w:rsidR="00E75FF8" w:rsidRDefault="00E75FF8">
      <w:r>
        <w:separator/>
      </w:r>
    </w:p>
  </w:endnote>
  <w:endnote w:type="continuationSeparator" w:id="0">
    <w:p w14:paraId="51BC5397" w14:textId="77777777" w:rsidR="00E75FF8" w:rsidRDefault="00E7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6915" w14:textId="77777777" w:rsidR="00E5251A" w:rsidRDefault="00E525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11809" w14:textId="77777777" w:rsidR="00E5251A" w:rsidRDefault="00E525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1D3F" w14:textId="77777777" w:rsidR="00E5251A" w:rsidRDefault="00E525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5B9C">
      <w:rPr>
        <w:rStyle w:val="PageNumber"/>
        <w:noProof/>
      </w:rPr>
      <w:t>3</w:t>
    </w:r>
    <w:r>
      <w:rPr>
        <w:rStyle w:val="PageNumber"/>
      </w:rPr>
      <w:fldChar w:fldCharType="end"/>
    </w:r>
  </w:p>
  <w:p w14:paraId="64BCB048" w14:textId="77777777" w:rsidR="00E5251A" w:rsidRDefault="00E525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3ECDA" w14:textId="77777777" w:rsidR="00E75FF8" w:rsidRDefault="00E75FF8">
      <w:r>
        <w:separator/>
      </w:r>
    </w:p>
  </w:footnote>
  <w:footnote w:type="continuationSeparator" w:id="0">
    <w:p w14:paraId="2FF16262" w14:textId="77777777" w:rsidR="00E75FF8" w:rsidRDefault="00E75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782"/>
    <w:multiLevelType w:val="hybridMultilevel"/>
    <w:tmpl w:val="EA24FB18"/>
    <w:lvl w:ilvl="0" w:tplc="3342FA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3"/>
  <w:drawingGridVerticalSpacing w:val="35"/>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6E12"/>
    <w:rsid w:val="00014675"/>
    <w:rsid w:val="00037791"/>
    <w:rsid w:val="001D5EEC"/>
    <w:rsid w:val="00395B9C"/>
    <w:rsid w:val="00544135"/>
    <w:rsid w:val="00755F96"/>
    <w:rsid w:val="008B006E"/>
    <w:rsid w:val="009248B7"/>
    <w:rsid w:val="009315F9"/>
    <w:rsid w:val="00A420B2"/>
    <w:rsid w:val="00B63CE9"/>
    <w:rsid w:val="00C17FC9"/>
    <w:rsid w:val="00C2572E"/>
    <w:rsid w:val="00CA6E12"/>
    <w:rsid w:val="00CC48E9"/>
    <w:rsid w:val="00DE793B"/>
    <w:rsid w:val="00E038FF"/>
    <w:rsid w:val="00E5251A"/>
    <w:rsid w:val="00E75FF8"/>
    <w:rsid w:val="00F0229B"/>
    <w:rsid w:val="00FF4C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BF12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44"/>
    </w:rPr>
  </w:style>
  <w:style w:type="paragraph" w:styleId="Heading2">
    <w:name w:val="heading 2"/>
    <w:basedOn w:val="Normal"/>
    <w:next w:val="Normal"/>
    <w:qFormat/>
    <w:pPr>
      <w:keepNext/>
      <w:jc w:val="center"/>
      <w:outlineLvl w:val="1"/>
    </w:pPr>
    <w:rPr>
      <w:i/>
      <w:iCs/>
      <w:sz w:val="4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table" w:styleId="TableGrid">
    <w:name w:val="Table Grid"/>
    <w:basedOn w:val="TableNormal"/>
    <w:rsid w:val="00CA6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2019-04-19T09:59:00Z</dcterms:created>
  <dcterms:modified xsi:type="dcterms:W3CDTF">2019-04-19T09:59:00Z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