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610"/>
        <w:gridCol w:w="7502"/>
        <w:gridCol w:w="1100"/>
      </w:tblGrid>
      <w:tr w:rsidR="00A2506E" w14:paraId="6F455687" w14:textId="77777777">
        <w:trPr>
          <w:cantSplit/>
        </w:trPr>
        <w:tc>
          <w:tcPr>
            <w:tcW w:w="610" w:type="dxa"/>
            <w:vMerge w:val="restart"/>
          </w:tcPr>
          <w:p w14:paraId="56530842" w14:textId="68616192" w:rsidR="00A2506E" w:rsidRDefault="00A2506E">
            <w:bookmarkStart w:id="0" w:name="_GoBack"/>
            <w:bookmarkEnd w:id="0"/>
          </w:p>
        </w:tc>
        <w:tc>
          <w:tcPr>
            <w:tcW w:w="7502" w:type="dxa"/>
          </w:tcPr>
          <w:p w14:paraId="4A70BD6B" w14:textId="77777777" w:rsidR="00A2506E" w:rsidRDefault="002A522C">
            <w:pPr>
              <w:jc w:val="center"/>
            </w:pPr>
            <w:r>
              <w:t xml:space="preserve">2. vaja – </w:t>
            </w:r>
            <w:r>
              <w:rPr>
                <w:b/>
                <w:bCs/>
              </w:rPr>
              <w:t>OPAZOVANJE ŽIVALI</w:t>
            </w:r>
          </w:p>
        </w:tc>
        <w:tc>
          <w:tcPr>
            <w:tcW w:w="1100" w:type="dxa"/>
            <w:vMerge w:val="restart"/>
          </w:tcPr>
          <w:p w14:paraId="621F8BDC" w14:textId="0EFB3995" w:rsidR="00A2506E" w:rsidRDefault="00A2506E">
            <w:pPr>
              <w:jc w:val="right"/>
            </w:pPr>
          </w:p>
        </w:tc>
      </w:tr>
      <w:tr w:rsidR="00A2506E" w14:paraId="09F0E434" w14:textId="77777777">
        <w:trPr>
          <w:cantSplit/>
        </w:trPr>
        <w:tc>
          <w:tcPr>
            <w:tcW w:w="610" w:type="dxa"/>
            <w:vMerge/>
          </w:tcPr>
          <w:p w14:paraId="5215708E" w14:textId="77777777" w:rsidR="00A2506E" w:rsidRDefault="00A2506E"/>
        </w:tc>
        <w:tc>
          <w:tcPr>
            <w:tcW w:w="7502" w:type="dxa"/>
          </w:tcPr>
          <w:p w14:paraId="1B8BC6A3" w14:textId="62A5D578" w:rsidR="00A2506E" w:rsidRDefault="00A2506E">
            <w:pPr>
              <w:jc w:val="center"/>
            </w:pPr>
          </w:p>
        </w:tc>
        <w:tc>
          <w:tcPr>
            <w:tcW w:w="1100" w:type="dxa"/>
            <w:vMerge/>
          </w:tcPr>
          <w:p w14:paraId="5C5026E4" w14:textId="77777777" w:rsidR="00A2506E" w:rsidRDefault="00A2506E"/>
        </w:tc>
      </w:tr>
    </w:tbl>
    <w:p w14:paraId="796F5D87" w14:textId="77777777" w:rsidR="00A2506E" w:rsidRDefault="00A2506E"/>
    <w:p w14:paraId="4063FE8D" w14:textId="77777777" w:rsidR="00A2506E" w:rsidRDefault="002A522C">
      <w:r>
        <w:t>Na vaji smo bili razdeljeni v več skupin. Opazovali smo spužve, ploskavce, mehkužce, kolobarnike, členonožce, iglokožce. Naša skupina je imela ptičjega pajka, pri katerem se je razločno videla delitev na glavoprsje in zadek. Ima 4 pare nog in pa dva para pipalk. (Eden je videti kakor noge.) Na zadku ima predilne bradavice. Je dvobočno someren. Imeli smo še tarantelo in pa škorpijona, ki pa ima členjen zadek. Na glavoprsju ima poleg nog še klešče. Potem smo opazovali stonogo in pijavko, ki spada med kolobarnike. Imela je rahlo sploščeno telo. Sprednji prisesek je bil dobro viden. Druga skupina je imela spužve in trakuljo. Naslednja skupina je imela školjke in polže. Kako ločimo školjke in polže? Hišica polža je iz enega dela, medtem ko je školjka iz dveh delov, ki se lahko odpirajo in zapirajo. Imeli smo še skupino, ki je opazovala iglokožce. Opazovali so morsko zvezdo, ki je radialno somerna in pa morske ježke.</w:t>
      </w:r>
    </w:p>
    <w:sectPr w:rsidR="00A25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22C"/>
    <w:rsid w:val="002A522C"/>
    <w:rsid w:val="003F0ABE"/>
    <w:rsid w:val="00A2506E"/>
    <w:rsid w:val="00CB48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AD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