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63" w:rsidRDefault="001069C5">
      <w:bookmarkStart w:id="0" w:name="_GoBack"/>
      <w:bookmarkEnd w:id="0"/>
      <w:r>
        <w:t>LABORATORIJSKA VAJA: RAZMERJE MED VELIKOSTJO CELICE IN DIFUZIJO</w:t>
      </w:r>
    </w:p>
    <w:p w:rsidR="00BA3C63" w:rsidRDefault="00BA3C63"/>
    <w:p w:rsidR="00BA3C63" w:rsidRDefault="001069C5">
      <w:r>
        <w:t>Uvod:</w:t>
      </w:r>
    </w:p>
    <w:p w:rsidR="00BA3C63" w:rsidRDefault="001069C5">
      <w:pPr>
        <w:rPr>
          <w:rFonts w:ascii="Trebuchet MS" w:hAnsi="Trebuchet MS"/>
        </w:rPr>
      </w:pPr>
      <w:r>
        <w:rPr>
          <w:rFonts w:ascii="Trebuchet MS" w:hAnsi="Trebuchet MS"/>
        </w:rPr>
        <w:t>Le redke celice so tako velike, da jih lahko opazimo s prostim očesom. Ko zrastejo do določene velikosti, se njihova rast upočasni in končno ustavi. Nekatere celice se delijo in hčerinske celice, ki so manjše od materinske, nadaljujejo rast.</w:t>
      </w:r>
    </w:p>
    <w:p w:rsidR="00BA3C63" w:rsidRDefault="001069C5">
      <w:pPr>
        <w:rPr>
          <w:rFonts w:ascii="Trebuchet MS" w:hAnsi="Trebuchet MS"/>
        </w:rPr>
      </w:pPr>
      <w:r>
        <w:rPr>
          <w:rFonts w:ascii="Trebuchet MS" w:hAnsi="Trebuchet MS"/>
        </w:rPr>
        <w:t>Snovi, ki so potrebne za dejavnost in rast celic, vstopajo v celico skozi membrano na njeni površini in tudi nerabni produkti izstopajo skozi njeno površino. Čim večja je celica, tem večja je njena prostornina in večje so tudi njene potrebe. Načinov vstopanja snovi v celico je več. Eden od njih je difuzija, gibanje delcev z mesta z večjo koncentracijo, na mesto z nižjo koncentracijo. Pri vaji nismo delali s celicami, ampak z modeli celic, ki so jih predstavljale kocke agarja prepojene s fenolftaleinom. Fenolftalein je indikator, ki ob stiku z bazo spremeni barvo.</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Spoznali bomo:</w:t>
      </w:r>
    </w:p>
    <w:p w:rsidR="00BA3C63" w:rsidRDefault="001069C5">
      <w:pPr>
        <w:rPr>
          <w:rFonts w:ascii="Trebuchet MS" w:hAnsi="Trebuchet MS"/>
        </w:rPr>
      </w:pPr>
      <w:r>
        <w:rPr>
          <w:rFonts w:ascii="Trebuchet MS" w:hAnsi="Trebuchet MS"/>
        </w:rPr>
        <w:t xml:space="preserve"> pomemben dejavnik, ki omejuje velikost celice in hitrost rasti</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Material:</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agar – fenolftalein</w:t>
      </w:r>
    </w:p>
    <w:p w:rsidR="00BA3C63" w:rsidRDefault="001069C5">
      <w:pPr>
        <w:rPr>
          <w:rFonts w:ascii="Trebuchet MS" w:hAnsi="Trebuchet MS"/>
        </w:rPr>
      </w:pPr>
      <w:r>
        <w:rPr>
          <w:rFonts w:ascii="Trebuchet MS" w:hAnsi="Trebuchet MS"/>
        </w:rPr>
        <w:t>0,4% raztopina NaOH</w:t>
      </w:r>
    </w:p>
    <w:p w:rsidR="00BA3C63" w:rsidRDefault="001069C5">
      <w:pPr>
        <w:rPr>
          <w:rFonts w:ascii="Trebuchet MS" w:hAnsi="Trebuchet MS"/>
        </w:rPr>
      </w:pPr>
      <w:r>
        <w:rPr>
          <w:rFonts w:ascii="Trebuchet MS" w:hAnsi="Trebuchet MS"/>
        </w:rPr>
        <w:t>milimetrsko ravnilo</w:t>
      </w:r>
    </w:p>
    <w:p w:rsidR="00BA3C63" w:rsidRDefault="001069C5">
      <w:pPr>
        <w:rPr>
          <w:rFonts w:ascii="Trebuchet MS" w:hAnsi="Trebuchet MS"/>
        </w:rPr>
      </w:pPr>
      <w:r>
        <w:rPr>
          <w:rFonts w:ascii="Trebuchet MS" w:hAnsi="Trebuchet MS"/>
        </w:rPr>
        <w:t>čaša</w:t>
      </w:r>
    </w:p>
    <w:p w:rsidR="00BA3C63" w:rsidRDefault="001069C5">
      <w:pPr>
        <w:rPr>
          <w:rFonts w:ascii="Trebuchet MS" w:hAnsi="Trebuchet MS"/>
        </w:rPr>
      </w:pPr>
      <w:r>
        <w:rPr>
          <w:rFonts w:ascii="Trebuchet MS" w:hAnsi="Trebuchet MS"/>
        </w:rPr>
        <w:t>plastična žlica</w:t>
      </w:r>
    </w:p>
    <w:p w:rsidR="00BA3C63" w:rsidRDefault="001069C5">
      <w:pPr>
        <w:rPr>
          <w:rFonts w:ascii="Trebuchet MS" w:hAnsi="Trebuchet MS"/>
        </w:rPr>
      </w:pPr>
      <w:r>
        <w:rPr>
          <w:rFonts w:ascii="Trebuchet MS" w:hAnsi="Trebuchet MS"/>
        </w:rPr>
        <w:t>plastičen nož</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Postopek:</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 xml:space="preserve">Najprej smo izrezali tri kocke agarja s stranicami 1 cm, 2 cm, 3 cm. Kocke smo dali v čašo in jih prelili z raztopino NaOH tako, da so bile popolnoma prekrite. V raztopini smo jih pustili 10 minut, medtem smo jih večkrat premešali. Med čakanjem smo izračunali volumne in prostornine kock. Po 10 minutah smo kocke vzeli iz raztopine ter jih na papirnati brisači prerezali na polovico. Izmerili smo globino obarvanega območja, d – obseg diguzije. Izmerili smo tudi neobarvano obomčje aN. </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Rezultati:</w:t>
      </w:r>
    </w:p>
    <w:p w:rsidR="00BA3C63" w:rsidRDefault="00BA3C63">
      <w:pPr>
        <w:rPr>
          <w:rFonts w:ascii="Trebuchet MS" w:hAnsi="Trebuchet M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0"/>
        <w:gridCol w:w="1071"/>
        <w:gridCol w:w="1071"/>
        <w:gridCol w:w="1071"/>
        <w:gridCol w:w="1070"/>
        <w:gridCol w:w="1071"/>
        <w:gridCol w:w="1071"/>
        <w:gridCol w:w="1071"/>
        <w:gridCol w:w="1072"/>
      </w:tblGrid>
      <w:tr w:rsidR="00BA3C63">
        <w:tc>
          <w:tcPr>
            <w:tcW w:w="1070"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a (cm)</w:t>
            </w:r>
          </w:p>
        </w:tc>
        <w:tc>
          <w:tcPr>
            <w:tcW w:w="1071"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V (cm</w:t>
            </w:r>
            <w:r>
              <w:rPr>
                <w:rFonts w:ascii="Trebuchet MS" w:hAnsi="Trebuchet MS"/>
                <w:vertAlign w:val="superscript"/>
              </w:rPr>
              <w:t>3</w:t>
            </w:r>
            <w:r>
              <w:rPr>
                <w:rFonts w:ascii="Trebuchet MS" w:hAnsi="Trebuchet MS"/>
              </w:rPr>
              <w:t>)</w:t>
            </w:r>
          </w:p>
        </w:tc>
        <w:tc>
          <w:tcPr>
            <w:tcW w:w="1071"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P (cm</w:t>
            </w:r>
            <w:r>
              <w:rPr>
                <w:rFonts w:ascii="Trebuchet MS" w:hAnsi="Trebuchet MS"/>
                <w:vertAlign w:val="superscript"/>
              </w:rPr>
              <w:t>2</w:t>
            </w:r>
            <w:r>
              <w:rPr>
                <w:rFonts w:ascii="Trebuchet MS" w:hAnsi="Trebuchet MS"/>
              </w:rPr>
              <w:t>)</w:t>
            </w:r>
          </w:p>
        </w:tc>
        <w:tc>
          <w:tcPr>
            <w:tcW w:w="1071"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V : P</w:t>
            </w:r>
          </w:p>
        </w:tc>
        <w:tc>
          <w:tcPr>
            <w:tcW w:w="1070"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d (cm)</w:t>
            </w:r>
          </w:p>
        </w:tc>
        <w:tc>
          <w:tcPr>
            <w:tcW w:w="1071"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a</w:t>
            </w:r>
            <w:r>
              <w:rPr>
                <w:rFonts w:ascii="Trebuchet MS" w:hAnsi="Trebuchet MS"/>
                <w:vertAlign w:val="subscript"/>
              </w:rPr>
              <w:t>N</w:t>
            </w:r>
            <w:r>
              <w:rPr>
                <w:rFonts w:ascii="Trebuchet MS" w:hAnsi="Trebuchet MS"/>
              </w:rPr>
              <w:t xml:space="preserve"> (cm)</w:t>
            </w:r>
          </w:p>
        </w:tc>
        <w:tc>
          <w:tcPr>
            <w:tcW w:w="1071"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V</w:t>
            </w:r>
            <w:r>
              <w:rPr>
                <w:rFonts w:ascii="Trebuchet MS" w:hAnsi="Trebuchet MS"/>
                <w:vertAlign w:val="subscript"/>
              </w:rPr>
              <w:t>N</w:t>
            </w:r>
            <w:r>
              <w:rPr>
                <w:rFonts w:ascii="Trebuchet MS" w:hAnsi="Trebuchet MS"/>
              </w:rPr>
              <w:t xml:space="preserve"> (cm</w:t>
            </w:r>
            <w:r>
              <w:rPr>
                <w:rFonts w:ascii="Trebuchet MS" w:hAnsi="Trebuchet MS"/>
                <w:vertAlign w:val="superscript"/>
              </w:rPr>
              <w:t>3</w:t>
            </w:r>
            <w:r>
              <w:rPr>
                <w:rFonts w:ascii="Trebuchet MS" w:hAnsi="Trebuchet MS"/>
              </w:rPr>
              <w:t>)</w:t>
            </w:r>
          </w:p>
        </w:tc>
        <w:tc>
          <w:tcPr>
            <w:tcW w:w="1071" w:type="dxa"/>
            <w:tcBorders>
              <w:top w:val="single" w:sz="1" w:space="0" w:color="000000"/>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V</w:t>
            </w:r>
            <w:r>
              <w:rPr>
                <w:rFonts w:ascii="Trebuchet MS" w:hAnsi="Trebuchet MS"/>
                <w:vertAlign w:val="subscript"/>
              </w:rPr>
              <w:t>O</w:t>
            </w:r>
            <w:r>
              <w:rPr>
                <w:rFonts w:ascii="Trebuchet MS" w:hAnsi="Trebuchet MS"/>
              </w:rPr>
              <w:t xml:space="preserve"> (cm</w:t>
            </w:r>
            <w:r>
              <w:rPr>
                <w:rFonts w:ascii="Trebuchet MS" w:hAnsi="Trebuchet MS"/>
                <w:vertAlign w:val="superscript"/>
              </w:rPr>
              <w:t>3</w:t>
            </w:r>
            <w:r>
              <w:rPr>
                <w:rFonts w:ascii="Trebuchet MS" w:hAnsi="Trebuchet MS"/>
              </w:rPr>
              <w:t>)</w:t>
            </w:r>
          </w:p>
        </w:tc>
        <w:tc>
          <w:tcPr>
            <w:tcW w:w="1072" w:type="dxa"/>
            <w:tcBorders>
              <w:top w:val="single" w:sz="1" w:space="0" w:color="000000"/>
              <w:left w:val="single" w:sz="1" w:space="0" w:color="000000"/>
              <w:bottom w:val="single" w:sz="1" w:space="0" w:color="000000"/>
              <w:right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w:t>
            </w:r>
          </w:p>
        </w:tc>
      </w:tr>
      <w:tr w:rsidR="00BA3C63">
        <w:tc>
          <w:tcPr>
            <w:tcW w:w="1070"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1</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1</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6</w:t>
            </w:r>
          </w:p>
        </w:tc>
        <w:tc>
          <w:tcPr>
            <w:tcW w:w="1071" w:type="dxa"/>
            <w:tcBorders>
              <w:left w:val="single" w:sz="1" w:space="0" w:color="000000"/>
              <w:bottom w:val="single" w:sz="1" w:space="0" w:color="000000"/>
            </w:tcBorders>
            <w:shd w:val="clear" w:color="auto" w:fill="auto"/>
          </w:tcPr>
          <w:p w:rsidR="00BA3C63" w:rsidRDefault="00BA3C63">
            <w:pPr>
              <w:pStyle w:val="TableContents"/>
              <w:rPr>
                <w:rFonts w:ascii="Trebuchet MS" w:hAnsi="Trebuchet MS"/>
              </w:rPr>
            </w:pPr>
          </w:p>
        </w:tc>
        <w:tc>
          <w:tcPr>
            <w:tcW w:w="1070"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0.45</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0.1</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0</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0</w:t>
            </w:r>
          </w:p>
        </w:tc>
        <w:tc>
          <w:tcPr>
            <w:tcW w:w="1072" w:type="dxa"/>
            <w:tcBorders>
              <w:left w:val="single" w:sz="1" w:space="0" w:color="000000"/>
              <w:bottom w:val="single" w:sz="1" w:space="0" w:color="000000"/>
              <w:right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99.9</w:t>
            </w:r>
          </w:p>
        </w:tc>
      </w:tr>
      <w:tr w:rsidR="00BA3C63">
        <w:tc>
          <w:tcPr>
            <w:tcW w:w="1070"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2</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8</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24</w:t>
            </w:r>
          </w:p>
        </w:tc>
        <w:tc>
          <w:tcPr>
            <w:tcW w:w="1071" w:type="dxa"/>
            <w:tcBorders>
              <w:left w:val="single" w:sz="1" w:space="0" w:color="000000"/>
              <w:bottom w:val="single" w:sz="1" w:space="0" w:color="000000"/>
            </w:tcBorders>
            <w:shd w:val="clear" w:color="auto" w:fill="auto"/>
          </w:tcPr>
          <w:p w:rsidR="00BA3C63" w:rsidRDefault="00BA3C63">
            <w:pPr>
              <w:pStyle w:val="TableContents"/>
              <w:rPr>
                <w:rFonts w:ascii="Trebuchet MS" w:hAnsi="Trebuchet MS"/>
              </w:rPr>
            </w:pPr>
          </w:p>
        </w:tc>
        <w:tc>
          <w:tcPr>
            <w:tcW w:w="1070"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0.4</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1.2</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1.73</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6.28</w:t>
            </w:r>
          </w:p>
        </w:tc>
        <w:tc>
          <w:tcPr>
            <w:tcW w:w="1072" w:type="dxa"/>
            <w:tcBorders>
              <w:left w:val="single" w:sz="1" w:space="0" w:color="000000"/>
              <w:bottom w:val="single" w:sz="1" w:space="0" w:color="000000"/>
              <w:right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78.4</w:t>
            </w:r>
          </w:p>
        </w:tc>
      </w:tr>
      <w:tr w:rsidR="00BA3C63">
        <w:tc>
          <w:tcPr>
            <w:tcW w:w="1070"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3</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24</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54</w:t>
            </w:r>
          </w:p>
        </w:tc>
        <w:tc>
          <w:tcPr>
            <w:tcW w:w="1071" w:type="dxa"/>
            <w:tcBorders>
              <w:left w:val="single" w:sz="1" w:space="0" w:color="000000"/>
              <w:bottom w:val="single" w:sz="1" w:space="0" w:color="000000"/>
            </w:tcBorders>
            <w:shd w:val="clear" w:color="auto" w:fill="auto"/>
          </w:tcPr>
          <w:p w:rsidR="00BA3C63" w:rsidRDefault="00BA3C63">
            <w:pPr>
              <w:pStyle w:val="TableContents"/>
              <w:rPr>
                <w:rFonts w:ascii="Trebuchet MS" w:hAnsi="Trebuchet MS"/>
              </w:rPr>
            </w:pPr>
          </w:p>
        </w:tc>
        <w:tc>
          <w:tcPr>
            <w:tcW w:w="1070"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0.3</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2.4</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13.82</w:t>
            </w:r>
          </w:p>
        </w:tc>
        <w:tc>
          <w:tcPr>
            <w:tcW w:w="1071" w:type="dxa"/>
            <w:tcBorders>
              <w:left w:val="single" w:sz="1" w:space="0" w:color="000000"/>
              <w:bottom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13.18</w:t>
            </w:r>
          </w:p>
        </w:tc>
        <w:tc>
          <w:tcPr>
            <w:tcW w:w="1072" w:type="dxa"/>
            <w:tcBorders>
              <w:left w:val="single" w:sz="1" w:space="0" w:color="000000"/>
              <w:bottom w:val="single" w:sz="1" w:space="0" w:color="000000"/>
              <w:right w:val="single" w:sz="1" w:space="0" w:color="000000"/>
            </w:tcBorders>
            <w:shd w:val="clear" w:color="auto" w:fill="auto"/>
          </w:tcPr>
          <w:p w:rsidR="00BA3C63" w:rsidRDefault="001069C5">
            <w:pPr>
              <w:pStyle w:val="TableContents"/>
              <w:rPr>
                <w:rFonts w:ascii="Trebuchet MS" w:hAnsi="Trebuchet MS"/>
              </w:rPr>
            </w:pPr>
            <w:r>
              <w:rPr>
                <w:rFonts w:ascii="Trebuchet MS" w:hAnsi="Trebuchet MS"/>
              </w:rPr>
              <w:t>48.8</w:t>
            </w:r>
          </w:p>
        </w:tc>
      </w:tr>
    </w:tbl>
    <w:p w:rsidR="00BA3C63" w:rsidRDefault="001069C5">
      <w:pPr>
        <w:rPr>
          <w:rFonts w:ascii="Trebuchet MS" w:hAnsi="Trebuchet MS"/>
        </w:rPr>
      </w:pPr>
      <w:r>
        <w:rPr>
          <w:rFonts w:ascii="Trebuchet MS" w:hAnsi="Trebuchet MS"/>
        </w:rPr>
        <w:t>Tabela 1: prikaz rezultatov vaje</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Zaključek:</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 xml:space="preserve">Razmerje med površino in volumnom celic je obratno sorazmerno, kar lahko vidimo tudi iz odstotka obarvanosti volumna. Večje celice imajo manjši odstotek obarvanega dela, medtem ko imajo manjše celice večji odstotek obarvanega. Obarvan del kocke dokazuje prodiranje NaOH v celico saj je bila kocka prepojena s fenolftaleinom. Tudi raztopina okoli kock se je obarvala, kar dokazuje tudi prodiranje fenolftaleina iz kocke v </w:t>
      </w:r>
      <w:r>
        <w:rPr>
          <w:rFonts w:ascii="Trebuchet MS" w:hAnsi="Trebuchet MS"/>
        </w:rPr>
        <w:lastRenderedPageBreak/>
        <w:t xml:space="preserve">raztopino. Če bi bile kocke agarja žive celice, bi imela najmanjša celica s stranico 1 cm najbolj preskrbljena s snovjo. Medtem ko celica raste se razmerje med površino in volumnom povečuje. </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 xml:space="preserve">Literatura: </w:t>
      </w:r>
    </w:p>
    <w:p w:rsidR="00BA3C63" w:rsidRDefault="00BA3C63">
      <w:pPr>
        <w:rPr>
          <w:rFonts w:ascii="Trebuchet MS" w:hAnsi="Trebuchet MS"/>
        </w:rPr>
      </w:pPr>
    </w:p>
    <w:p w:rsidR="00BA3C63" w:rsidRDefault="001069C5">
      <w:pPr>
        <w:rPr>
          <w:rFonts w:ascii="Trebuchet MS" w:hAnsi="Trebuchet MS"/>
        </w:rPr>
      </w:pPr>
      <w:r>
        <w:rPr>
          <w:rFonts w:ascii="Trebuchet MS" w:hAnsi="Trebuchet MS"/>
        </w:rPr>
        <w:t>zapiski</w:t>
      </w:r>
    </w:p>
    <w:p w:rsidR="00BA3C63" w:rsidRDefault="001069C5">
      <w:pPr>
        <w:rPr>
          <w:rFonts w:ascii="Trebuchet MS" w:hAnsi="Trebuchet MS"/>
        </w:rPr>
      </w:pPr>
      <w:r>
        <w:rPr>
          <w:rFonts w:ascii="Trebuchet MS" w:hAnsi="Trebuchet MS"/>
        </w:rPr>
        <w:t>list z navodili za laboratorijsko vajo</w:t>
      </w:r>
    </w:p>
    <w:p w:rsidR="00BA3C63" w:rsidRDefault="001069C5">
      <w:pPr>
        <w:rPr>
          <w:rFonts w:ascii="Trebuchet MS" w:hAnsi="Trebuchet MS"/>
        </w:rPr>
      </w:pPr>
      <w:r>
        <w:rPr>
          <w:rFonts w:ascii="Trebuchet MS" w:hAnsi="Trebuchet MS"/>
        </w:rPr>
        <w:t>P. Stušek, A. Podobnik, Biologija, učbenik za splošne gimnazije, Celica, Ljubljana, DZS 2005</w:t>
      </w:r>
    </w:p>
    <w:p w:rsidR="00BA3C63" w:rsidRDefault="001069C5">
      <w:pPr>
        <w:rPr>
          <w:rFonts w:ascii="Trebuchet MS" w:hAnsi="Trebuchet MS"/>
        </w:rPr>
      </w:pPr>
      <w:r>
        <w:rPr>
          <w:rFonts w:ascii="Trebuchet MS" w:hAnsi="Trebuchet MS"/>
        </w:rPr>
        <w:t xml:space="preserve">internet </w:t>
      </w:r>
    </w:p>
    <w:sectPr w:rsidR="00BA3C63">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9C5"/>
    <w:rsid w:val="001069C5"/>
    <w:rsid w:val="002B301D"/>
    <w:rsid w:val="00BA3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