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C8" w:rsidRDefault="00060CF4">
      <w:bookmarkStart w:id="0" w:name="_GoBack"/>
      <w:bookmarkEnd w:id="0"/>
      <w:r>
        <w:rPr>
          <w:noProof/>
        </w:rPr>
        <w:pict>
          <v:rect id="_x0000_s1032" style="position:absolute;margin-left:.75pt;margin-top:211.15pt;width:534.25pt;height:92.6pt;z-index:251658240;mso-width-percent:900;mso-height-percent:73;mso-position-horizontal-relative:page;mso-position-vertical-relative:page;mso-width-percent:900;mso-height-percent:73;v-text-anchor:middle" o:allowincell="f" fillcolor="#4f81bd" strokecolor="white" strokeweight="1pt">
            <v:fill color2="#365f91"/>
            <v:shadow color="#d8d8d8" offset="3pt,3pt" offset2="2pt,2pt"/>
            <v:textbox style="mso-next-textbox:#_x0000_s1032;mso-fit-shape-to-text:t" inset="14.4pt,,14.4pt">
              <w:txbxContent>
                <w:p w:rsidR="006D1FC8" w:rsidRPr="00723CCD" w:rsidRDefault="006D1FC8">
                  <w:pPr>
                    <w:pStyle w:val="NoSpacing"/>
                    <w:jc w:val="right"/>
                    <w:rPr>
                      <w:rFonts w:ascii="Cambria" w:hAnsi="Cambria"/>
                      <w:color w:val="FFFFFF"/>
                      <w:sz w:val="72"/>
                      <w:szCs w:val="72"/>
                    </w:rPr>
                  </w:pPr>
                  <w:r w:rsidRPr="00723CCD">
                    <w:rPr>
                      <w:rFonts w:ascii="Cambria" w:hAnsi="Cambria"/>
                      <w:color w:val="FFFFFF"/>
                      <w:sz w:val="72"/>
                      <w:szCs w:val="72"/>
                    </w:rPr>
                    <w:t>Razmerje med hitrostjo difuzije in velikostjo celice</w:t>
                  </w:r>
                </w:p>
              </w:txbxContent>
            </v:textbox>
            <w10:wrap anchorx="page" anchory="page"/>
          </v:rect>
        </w:pict>
      </w:r>
      <w:r>
        <w:rPr>
          <w:noProof/>
        </w:rPr>
        <w:pict>
          <v:group id="_x0000_s1026" style="position:absolute;margin-left:2862.7pt;margin-top:0;width:238.1pt;height:841.6pt;z-index:251657216;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stroked="f" strokecolor="#d8d8d8">
                <v:fill color2="#bfbfbf" rotate="t"/>
              </v:rect>
              <v:rect id="_x0000_s1029" style="position:absolute;left:7560;top:8;width:195;height:15825;mso-height-percent:1000;mso-position-vertical-relative:page;mso-height-percent:1000;mso-width-relative:margin;v-text-anchor:middle" fillcolor="#9bbb59" stroked="f" strokecolor="white" strokeweight="1pt">
                <v:fill r:id="rId7" o:title="Light vertical" opacity="52429f" o:opacity2="52429f" type="pattern"/>
                <v:shadow color="#d8d8d8"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30" inset="28.8pt,14.4pt,14.4pt,14.4pt">
                <w:txbxContent>
                  <w:p w:rsidR="006D1FC8" w:rsidRPr="00723CCD" w:rsidRDefault="006D1FC8">
                    <w:pPr>
                      <w:pStyle w:val="NoSpacing"/>
                      <w:rPr>
                        <w:rFonts w:ascii="Cambria" w:hAnsi="Cambria"/>
                        <w:b/>
                        <w:bCs/>
                        <w:color w:val="FFFFFF"/>
                        <w:sz w:val="96"/>
                        <w:szCs w:val="96"/>
                      </w:rPr>
                    </w:pPr>
                    <w:r w:rsidRPr="00723CCD">
                      <w:rPr>
                        <w:rFonts w:ascii="Cambria" w:hAnsi="Cambria"/>
                        <w:b/>
                        <w:bCs/>
                        <w:color w:val="FFFFFF"/>
                        <w:sz w:val="96"/>
                        <w:szCs w:val="96"/>
                      </w:rPr>
                      <w:t>2012</w:t>
                    </w:r>
                  </w:p>
                </w:txbxContent>
              </v:textbox>
            </v:rect>
            <v:rect id="_x0000_s1031"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31" inset="28.8pt,14.4pt,14.4pt,14.4pt">
                <w:txbxContent>
                  <w:p w:rsidR="006D1FC8" w:rsidRPr="00723CCD" w:rsidRDefault="006D1FC8">
                    <w:pPr>
                      <w:pStyle w:val="NoSpacing"/>
                      <w:spacing w:line="360" w:lineRule="auto"/>
                      <w:rPr>
                        <w:color w:val="FFFFFF"/>
                      </w:rPr>
                    </w:pPr>
                  </w:p>
                </w:txbxContent>
              </v:textbox>
            </v:rect>
            <w10:wrap anchorx="page" anchory="page"/>
          </v:group>
        </w:pict>
      </w:r>
    </w:p>
    <w:p w:rsidR="006D1FC8" w:rsidRDefault="006D1FC8">
      <w:r>
        <w:br w:type="page"/>
      </w:r>
    </w:p>
    <w:p w:rsidR="006D1FC8" w:rsidRDefault="006D1FC8" w:rsidP="006D1FC8">
      <w:pPr>
        <w:pStyle w:val="Heading1"/>
      </w:pPr>
      <w:bookmarkStart w:id="1" w:name="_Toc317949124"/>
      <w:r>
        <w:t>Uvod</w:t>
      </w:r>
      <w:bookmarkEnd w:id="1"/>
    </w:p>
    <w:p w:rsidR="00BF12C9" w:rsidRDefault="006D1FC8">
      <w:r>
        <w:t>Ko celice zrastejo do določene velikosti, se njihova rast počasi upočasnjuje, dokler dokončno ne preneha. Celice so dosegle mejo lasne velikosti. Ko se celica deli na dve manjši, se lahko rast zopet nadaljuje. Snovi, ki so potrebne za dejavnost celice in njeno rast, vstopajo v celico skozi njeno površino, na enak način pa iz nje izstopajo nerabni produkti. Večja kot je celica, več snovi potrebuje in tudi količina njenih nerabnih produktov je večja.</w:t>
      </w:r>
      <w:r w:rsidR="00EA6E96">
        <w:t xml:space="preserve"> Zato je razmerje med površino in prostornino celice odločilen dejavnik pri uravnavanju velikosti celice in hitrosti njene rasti.</w:t>
      </w:r>
    </w:p>
    <w:p w:rsidR="00EA6E96" w:rsidRDefault="00EA6E96">
      <w:r w:rsidRPr="00331E96">
        <w:rPr>
          <w:rStyle w:val="Heading3Char"/>
          <w:rFonts w:eastAsia="Calibri"/>
        </w:rPr>
        <w:t>Namen vaje:</w:t>
      </w:r>
      <w:r>
        <w:t xml:space="preserve"> </w:t>
      </w:r>
      <w:r>
        <w:br/>
        <w:t>-spoznati pomen razmerja med površino in prostornino za procese v celici</w:t>
      </w:r>
      <w:r>
        <w:br/>
        <w:t>-razumeti celično absorbcijo, ekskrecijo, rast in razmnoževanje</w:t>
      </w:r>
      <w:r>
        <w:br/>
        <w:t>-spoznati in razumeti difuzijo kot način izmenjave snovi med celico in okoljem.</w:t>
      </w:r>
    </w:p>
    <w:p w:rsidR="006E2853" w:rsidRDefault="006E2853">
      <w:r>
        <w:t>Postavili smo hipotezo, da bo najmanjša celica (kocka) najbolj učinkovita, torej bo glede na svojo velikost opravila največjo difuzijo.</w:t>
      </w:r>
    </w:p>
    <w:p w:rsidR="00EA6E96" w:rsidRDefault="00EA6E96" w:rsidP="00EA6E96">
      <w:pPr>
        <w:pStyle w:val="Heading1"/>
      </w:pPr>
      <w:bookmarkStart w:id="2" w:name="_Toc317949125"/>
      <w:r>
        <w:t>Postopek dela</w:t>
      </w:r>
      <w:bookmarkEnd w:id="2"/>
    </w:p>
    <w:p w:rsidR="00EA6E96" w:rsidRDefault="00EA6E96" w:rsidP="00EA6E96">
      <w:pPr>
        <w:pStyle w:val="Heading2"/>
      </w:pPr>
      <w:bookmarkStart w:id="3" w:name="_Toc317949126"/>
      <w:r>
        <w:t>Material</w:t>
      </w:r>
      <w:bookmarkEnd w:id="3"/>
    </w:p>
    <w:p w:rsidR="00EA6E96" w:rsidRDefault="00331E96">
      <w:r>
        <w:t>-</w:t>
      </w:r>
      <w:r w:rsidR="00EA6E96">
        <w:t>agar-fenolftalein</w:t>
      </w:r>
      <w:r w:rsidR="00EA6E96">
        <w:br/>
      </w:r>
      <w:r>
        <w:t>-</w:t>
      </w:r>
      <w:r w:rsidR="00EA6E96">
        <w:t>milimetrsko ravnilo</w:t>
      </w:r>
      <w:r w:rsidR="00EA6E96">
        <w:br/>
      </w:r>
      <w:r>
        <w:t>-</w:t>
      </w:r>
      <w:r w:rsidR="00EA6E96">
        <w:t>100ml 4% NaOH</w:t>
      </w:r>
      <w:r w:rsidR="00EA6E96">
        <w:br/>
      </w:r>
      <w:r>
        <w:t>-</w:t>
      </w:r>
      <w:r w:rsidR="00EA6E96">
        <w:t>250 ml čaša</w:t>
      </w:r>
      <w:r w:rsidR="00EA6E96">
        <w:br/>
      </w:r>
      <w:r>
        <w:t>-</w:t>
      </w:r>
      <w:r w:rsidR="00EA6E96">
        <w:t>plastična žlica</w:t>
      </w:r>
      <w:r w:rsidR="00EA6E96">
        <w:br/>
      </w:r>
      <w:r>
        <w:t>-</w:t>
      </w:r>
      <w:r w:rsidR="00EA6E96">
        <w:t>skalpel</w:t>
      </w:r>
      <w:r w:rsidR="00EA6E96">
        <w:br/>
      </w:r>
      <w:r>
        <w:t>-</w:t>
      </w:r>
      <w:r w:rsidR="00EA6E96">
        <w:t>papirnata brisača</w:t>
      </w:r>
      <w:r w:rsidR="00EA6E96">
        <w:br/>
      </w:r>
      <w:r>
        <w:t>-</w:t>
      </w:r>
      <w:r w:rsidR="00EA6E96">
        <w:t>steklena plošča</w:t>
      </w:r>
    </w:p>
    <w:p w:rsidR="00EA6E96" w:rsidRDefault="00EA6E96" w:rsidP="00EA6E96">
      <w:pPr>
        <w:pStyle w:val="Heading2"/>
      </w:pPr>
      <w:r>
        <w:t xml:space="preserve">Postopek </w:t>
      </w:r>
    </w:p>
    <w:p w:rsidR="00EA6E96" w:rsidRDefault="00EA6E96" w:rsidP="00EA6E96">
      <w:r>
        <w:t>Izrezali smo 3 kocke s stranicami 1 cm, 2 cm in 3 cm agar-fenolftaleina. Te smo dali v čašo, v kateri je bila raztopina NaOH tako, da je raztopina kocke popolnoma prekrivala. Zapisali smo si čas, kdaj smo kocke dali v raztopino. Med celotnim postopkom smo kocke večkrat obrnili s plastično žlico.</w:t>
      </w:r>
      <w:r w:rsidR="008E6FD1">
        <w:t xml:space="preserve"> </w:t>
      </w:r>
    </w:p>
    <w:p w:rsidR="008E6FD1" w:rsidRDefault="008E6FD1" w:rsidP="00EA6E96">
      <w:r>
        <w:t>Po 10 minutah smo kocke agarja vzeli iz raztopine NaOH in jih položili na stekleno ploščo. Nato smo jih osušili s papirnato brisačo in vsako kocko s skalpelom prerezali na polovico. Z milimetrskim ravnilom smo izmerili globino obarvanega področja (obseg difuzije). Izmerili smo tudi neobarvano področje.</w:t>
      </w:r>
    </w:p>
    <w:p w:rsidR="00331E96" w:rsidRPr="00723CCD" w:rsidRDefault="00331E96">
      <w:pPr>
        <w:rPr>
          <w:rFonts w:ascii="Cambria" w:eastAsia="Times New Roman" w:hAnsi="Cambria"/>
          <w:b/>
          <w:bCs/>
          <w:color w:val="76923C"/>
          <w:sz w:val="28"/>
          <w:szCs w:val="28"/>
        </w:rPr>
      </w:pPr>
      <w:r>
        <w:br w:type="page"/>
      </w:r>
    </w:p>
    <w:p w:rsidR="00EA6E96" w:rsidRDefault="00EA6E96" w:rsidP="00EA6E96">
      <w:pPr>
        <w:pStyle w:val="Heading1"/>
      </w:pPr>
      <w:r>
        <w:t>Rezultati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EA6E96" w:rsidRPr="00723CCD" w:rsidTr="00723CCD">
        <w:tc>
          <w:tcPr>
            <w:tcW w:w="2303" w:type="dxa"/>
            <w:shd w:val="clear" w:color="auto" w:fill="auto"/>
          </w:tcPr>
          <w:p w:rsidR="00EA6E96" w:rsidRPr="00723CCD" w:rsidRDefault="00EA6E96" w:rsidP="00723CCD">
            <w:pPr>
              <w:spacing w:after="0" w:line="240" w:lineRule="auto"/>
              <w:rPr>
                <w:b/>
              </w:rPr>
            </w:pPr>
            <w:r w:rsidRPr="00723CCD">
              <w:rPr>
                <w:b/>
              </w:rPr>
              <w:t>Velikost stranice [cm]</w:t>
            </w:r>
          </w:p>
        </w:tc>
        <w:tc>
          <w:tcPr>
            <w:tcW w:w="2303" w:type="dxa"/>
            <w:shd w:val="clear" w:color="auto" w:fill="auto"/>
          </w:tcPr>
          <w:p w:rsidR="00EA6E96" w:rsidRPr="00723CCD" w:rsidRDefault="00EA6E96" w:rsidP="00723CCD">
            <w:pPr>
              <w:spacing w:after="0" w:line="240" w:lineRule="auto"/>
              <w:rPr>
                <w:b/>
              </w:rPr>
            </w:pPr>
            <w:r w:rsidRPr="00723CCD">
              <w:rPr>
                <w:b/>
              </w:rPr>
              <w:t>Površina [cm</w:t>
            </w:r>
            <w:r w:rsidRPr="00723CCD">
              <w:rPr>
                <w:b/>
                <w:vertAlign w:val="superscript"/>
              </w:rPr>
              <w:t>2</w:t>
            </w:r>
            <w:r w:rsidRPr="00723CCD">
              <w:rPr>
                <w:b/>
              </w:rPr>
              <w:t>]</w:t>
            </w:r>
          </w:p>
        </w:tc>
        <w:tc>
          <w:tcPr>
            <w:tcW w:w="2303" w:type="dxa"/>
            <w:shd w:val="clear" w:color="auto" w:fill="auto"/>
          </w:tcPr>
          <w:p w:rsidR="00EA6E96" w:rsidRPr="00723CCD" w:rsidRDefault="008E6FD1" w:rsidP="00723CCD">
            <w:pPr>
              <w:spacing w:after="0" w:line="240" w:lineRule="auto"/>
              <w:rPr>
                <w:b/>
              </w:rPr>
            </w:pPr>
            <w:r w:rsidRPr="00723CCD">
              <w:rPr>
                <w:b/>
              </w:rPr>
              <w:t>Prostornina [cm</w:t>
            </w:r>
            <w:r w:rsidRPr="00723CCD">
              <w:rPr>
                <w:b/>
                <w:vertAlign w:val="superscript"/>
              </w:rPr>
              <w:t>3</w:t>
            </w:r>
            <w:r w:rsidRPr="00723CCD">
              <w:rPr>
                <w:b/>
              </w:rPr>
              <w:t>]</w:t>
            </w:r>
          </w:p>
        </w:tc>
        <w:tc>
          <w:tcPr>
            <w:tcW w:w="2303" w:type="dxa"/>
            <w:shd w:val="clear" w:color="auto" w:fill="auto"/>
          </w:tcPr>
          <w:p w:rsidR="00EA6E96" w:rsidRPr="00723CCD" w:rsidRDefault="008E6FD1" w:rsidP="00723CCD">
            <w:pPr>
              <w:spacing w:after="0" w:line="240" w:lineRule="auto"/>
              <w:rPr>
                <w:b/>
              </w:rPr>
            </w:pPr>
            <w:r w:rsidRPr="00723CCD">
              <w:rPr>
                <w:b/>
              </w:rPr>
              <w:t xml:space="preserve">Razmerje </w:t>
            </w:r>
          </w:p>
        </w:tc>
      </w:tr>
      <w:tr w:rsidR="00EA6E96" w:rsidRPr="00723CCD" w:rsidTr="00723CCD">
        <w:tc>
          <w:tcPr>
            <w:tcW w:w="2303" w:type="dxa"/>
            <w:shd w:val="clear" w:color="auto" w:fill="auto"/>
          </w:tcPr>
          <w:p w:rsidR="00EA6E96" w:rsidRPr="00723CCD" w:rsidRDefault="008E6FD1" w:rsidP="00723CCD">
            <w:pPr>
              <w:spacing w:after="0" w:line="240" w:lineRule="auto"/>
            </w:pPr>
            <w:r w:rsidRPr="00723CCD">
              <w:t xml:space="preserve">1 </w:t>
            </w:r>
          </w:p>
        </w:tc>
        <w:tc>
          <w:tcPr>
            <w:tcW w:w="2303" w:type="dxa"/>
            <w:shd w:val="clear" w:color="auto" w:fill="auto"/>
          </w:tcPr>
          <w:p w:rsidR="00EA6E96" w:rsidRPr="00723CCD" w:rsidRDefault="008E6FD1" w:rsidP="00723CCD">
            <w:pPr>
              <w:spacing w:after="0" w:line="240" w:lineRule="auto"/>
            </w:pPr>
            <w:r w:rsidRPr="00723CCD">
              <w:t>6</w:t>
            </w:r>
          </w:p>
        </w:tc>
        <w:tc>
          <w:tcPr>
            <w:tcW w:w="2303" w:type="dxa"/>
            <w:shd w:val="clear" w:color="auto" w:fill="auto"/>
          </w:tcPr>
          <w:p w:rsidR="00EA6E96" w:rsidRPr="00723CCD" w:rsidRDefault="008E6FD1" w:rsidP="00723CCD">
            <w:pPr>
              <w:spacing w:after="0" w:line="240" w:lineRule="auto"/>
            </w:pPr>
            <w:r w:rsidRPr="00723CCD">
              <w:t>1</w:t>
            </w:r>
          </w:p>
        </w:tc>
        <w:tc>
          <w:tcPr>
            <w:tcW w:w="2303" w:type="dxa"/>
            <w:shd w:val="clear" w:color="auto" w:fill="auto"/>
          </w:tcPr>
          <w:p w:rsidR="00EA6E96" w:rsidRPr="00723CCD" w:rsidRDefault="008E6FD1" w:rsidP="00723CCD">
            <w:pPr>
              <w:spacing w:after="0" w:line="240" w:lineRule="auto"/>
            </w:pPr>
            <w:r w:rsidRPr="00723CCD">
              <w:t>6</w:t>
            </w:r>
          </w:p>
        </w:tc>
      </w:tr>
      <w:tr w:rsidR="00EA6E96" w:rsidRPr="00723CCD" w:rsidTr="00723CCD">
        <w:tc>
          <w:tcPr>
            <w:tcW w:w="2303" w:type="dxa"/>
            <w:shd w:val="clear" w:color="auto" w:fill="auto"/>
          </w:tcPr>
          <w:p w:rsidR="00EA6E96" w:rsidRPr="00723CCD" w:rsidRDefault="008E6FD1" w:rsidP="00723CCD">
            <w:pPr>
              <w:spacing w:after="0" w:line="240" w:lineRule="auto"/>
            </w:pPr>
            <w:r w:rsidRPr="00723CCD">
              <w:t>2</w:t>
            </w:r>
          </w:p>
        </w:tc>
        <w:tc>
          <w:tcPr>
            <w:tcW w:w="2303" w:type="dxa"/>
            <w:shd w:val="clear" w:color="auto" w:fill="auto"/>
          </w:tcPr>
          <w:p w:rsidR="00EA6E96" w:rsidRPr="00723CCD" w:rsidRDefault="008E6FD1" w:rsidP="00723CCD">
            <w:pPr>
              <w:spacing w:after="0" w:line="240" w:lineRule="auto"/>
            </w:pPr>
            <w:r w:rsidRPr="00723CCD">
              <w:t>24</w:t>
            </w:r>
          </w:p>
        </w:tc>
        <w:tc>
          <w:tcPr>
            <w:tcW w:w="2303" w:type="dxa"/>
            <w:shd w:val="clear" w:color="auto" w:fill="auto"/>
          </w:tcPr>
          <w:p w:rsidR="00EA6E96" w:rsidRPr="00723CCD" w:rsidRDefault="008E6FD1" w:rsidP="00723CCD">
            <w:pPr>
              <w:spacing w:after="0" w:line="240" w:lineRule="auto"/>
            </w:pPr>
            <w:r w:rsidRPr="00723CCD">
              <w:t>8</w:t>
            </w:r>
          </w:p>
        </w:tc>
        <w:tc>
          <w:tcPr>
            <w:tcW w:w="2303" w:type="dxa"/>
            <w:shd w:val="clear" w:color="auto" w:fill="auto"/>
          </w:tcPr>
          <w:p w:rsidR="00EA6E96" w:rsidRPr="00723CCD" w:rsidRDefault="008E6FD1" w:rsidP="00723CCD">
            <w:pPr>
              <w:spacing w:after="0" w:line="240" w:lineRule="auto"/>
            </w:pPr>
            <w:r w:rsidRPr="00723CCD">
              <w:t>3</w:t>
            </w:r>
          </w:p>
        </w:tc>
      </w:tr>
      <w:tr w:rsidR="00EA6E96" w:rsidRPr="00723CCD" w:rsidTr="00723CCD">
        <w:tc>
          <w:tcPr>
            <w:tcW w:w="2303" w:type="dxa"/>
            <w:shd w:val="clear" w:color="auto" w:fill="auto"/>
          </w:tcPr>
          <w:p w:rsidR="00EA6E96" w:rsidRPr="00723CCD" w:rsidRDefault="008E6FD1" w:rsidP="00723CCD">
            <w:pPr>
              <w:spacing w:after="0" w:line="240" w:lineRule="auto"/>
            </w:pPr>
            <w:r w:rsidRPr="00723CCD">
              <w:t>3</w:t>
            </w:r>
          </w:p>
        </w:tc>
        <w:tc>
          <w:tcPr>
            <w:tcW w:w="2303" w:type="dxa"/>
            <w:shd w:val="clear" w:color="auto" w:fill="auto"/>
          </w:tcPr>
          <w:p w:rsidR="00EA6E96" w:rsidRPr="00723CCD" w:rsidRDefault="008E6FD1" w:rsidP="00723CCD">
            <w:pPr>
              <w:spacing w:after="0" w:line="240" w:lineRule="auto"/>
            </w:pPr>
            <w:r w:rsidRPr="00723CCD">
              <w:t>54</w:t>
            </w:r>
          </w:p>
        </w:tc>
        <w:tc>
          <w:tcPr>
            <w:tcW w:w="2303" w:type="dxa"/>
            <w:shd w:val="clear" w:color="auto" w:fill="auto"/>
          </w:tcPr>
          <w:p w:rsidR="00EA6E96" w:rsidRPr="00723CCD" w:rsidRDefault="008E6FD1" w:rsidP="00723CCD">
            <w:pPr>
              <w:spacing w:after="0" w:line="240" w:lineRule="auto"/>
            </w:pPr>
            <w:r w:rsidRPr="00723CCD">
              <w:t>27</w:t>
            </w:r>
          </w:p>
        </w:tc>
        <w:tc>
          <w:tcPr>
            <w:tcW w:w="2303" w:type="dxa"/>
            <w:shd w:val="clear" w:color="auto" w:fill="auto"/>
          </w:tcPr>
          <w:p w:rsidR="00EA6E96" w:rsidRPr="00723CCD" w:rsidRDefault="008E6FD1" w:rsidP="00723CCD">
            <w:pPr>
              <w:spacing w:after="0" w:line="240" w:lineRule="auto"/>
            </w:pPr>
            <w:r w:rsidRPr="00723CCD">
              <w:t>2</w:t>
            </w:r>
          </w:p>
        </w:tc>
      </w:tr>
    </w:tbl>
    <w:p w:rsidR="00EA6E96" w:rsidRPr="00723CCD" w:rsidRDefault="008E6FD1" w:rsidP="008E6FD1">
      <w:pPr>
        <w:pStyle w:val="Caption"/>
        <w:rPr>
          <w:color w:val="76923C"/>
        </w:rPr>
      </w:pPr>
      <w:r w:rsidRPr="00723CCD">
        <w:rPr>
          <w:color w:val="76923C"/>
        </w:rPr>
        <w:t xml:space="preserve">Tabela </w:t>
      </w:r>
      <w:r w:rsidR="00D774AD" w:rsidRPr="00723CCD">
        <w:rPr>
          <w:color w:val="76923C"/>
        </w:rPr>
        <w:fldChar w:fldCharType="begin"/>
      </w:r>
      <w:r w:rsidRPr="00723CCD">
        <w:rPr>
          <w:color w:val="76923C"/>
        </w:rPr>
        <w:instrText xml:space="preserve"> SEQ Tabela \* ARABIC </w:instrText>
      </w:r>
      <w:r w:rsidR="00D774AD" w:rsidRPr="00723CCD">
        <w:rPr>
          <w:color w:val="76923C"/>
        </w:rPr>
        <w:fldChar w:fldCharType="separate"/>
      </w:r>
      <w:r w:rsidR="005A530A" w:rsidRPr="00723CCD">
        <w:rPr>
          <w:noProof/>
          <w:color w:val="76923C"/>
        </w:rPr>
        <w:t>1</w:t>
      </w:r>
      <w:r w:rsidR="00D774AD" w:rsidRPr="00723CCD">
        <w:rPr>
          <w:color w:val="76923C"/>
        </w:rPr>
        <w:fldChar w:fldCharType="end"/>
      </w:r>
      <w:r w:rsidRPr="00723CCD">
        <w:rPr>
          <w:color w:val="76923C"/>
        </w:rPr>
        <w:t>: Izračunani podatki za površino in prostornino, ter razmerje med njima</w:t>
      </w:r>
    </w:p>
    <w:p w:rsidR="008E6FD1" w:rsidRPr="008E6FD1" w:rsidRDefault="008E6FD1" w:rsidP="008E6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003"/>
        <w:gridCol w:w="1597"/>
        <w:gridCol w:w="1511"/>
        <w:gridCol w:w="1368"/>
      </w:tblGrid>
      <w:tr w:rsidR="008E6FD1" w:rsidRPr="00723CCD" w:rsidTr="00723CCD">
        <w:tc>
          <w:tcPr>
            <w:tcW w:w="2518" w:type="dxa"/>
            <w:shd w:val="clear" w:color="auto" w:fill="auto"/>
          </w:tcPr>
          <w:p w:rsidR="008E6FD1" w:rsidRPr="00723CCD" w:rsidRDefault="008E6FD1" w:rsidP="00723CCD">
            <w:pPr>
              <w:spacing w:after="0" w:line="240" w:lineRule="auto"/>
              <w:rPr>
                <w:b/>
              </w:rPr>
            </w:pPr>
          </w:p>
        </w:tc>
        <w:tc>
          <w:tcPr>
            <w:tcW w:w="4111" w:type="dxa"/>
            <w:gridSpan w:val="3"/>
            <w:shd w:val="clear" w:color="auto" w:fill="auto"/>
          </w:tcPr>
          <w:p w:rsidR="008E6FD1" w:rsidRPr="00723CCD" w:rsidRDefault="008E6FD1" w:rsidP="00723CCD">
            <w:pPr>
              <w:spacing w:after="0" w:line="240" w:lineRule="auto"/>
              <w:rPr>
                <w:b/>
              </w:rPr>
            </w:pPr>
            <w:r w:rsidRPr="00723CCD">
              <w:rPr>
                <w:b/>
              </w:rPr>
              <w:t>Neobarvani del kocke</w:t>
            </w:r>
          </w:p>
        </w:tc>
        <w:tc>
          <w:tcPr>
            <w:tcW w:w="1368" w:type="dxa"/>
            <w:shd w:val="clear" w:color="auto" w:fill="auto"/>
          </w:tcPr>
          <w:p w:rsidR="008E6FD1" w:rsidRPr="00723CCD" w:rsidRDefault="008E6FD1" w:rsidP="00723CCD">
            <w:pPr>
              <w:spacing w:after="0" w:line="240" w:lineRule="auto"/>
              <w:rPr>
                <w:b/>
              </w:rPr>
            </w:pPr>
            <w:r w:rsidRPr="00723CCD">
              <w:rPr>
                <w:b/>
              </w:rPr>
              <w:t>Obarvani del kocke</w:t>
            </w:r>
          </w:p>
        </w:tc>
      </w:tr>
      <w:tr w:rsidR="008E6FD1" w:rsidRPr="00723CCD" w:rsidTr="00723CCD">
        <w:tc>
          <w:tcPr>
            <w:tcW w:w="2518" w:type="dxa"/>
            <w:shd w:val="clear" w:color="auto" w:fill="auto"/>
          </w:tcPr>
          <w:p w:rsidR="008E6FD1" w:rsidRPr="00723CCD" w:rsidRDefault="005A530A" w:rsidP="00723CCD">
            <w:pPr>
              <w:spacing w:after="0" w:line="240" w:lineRule="auto"/>
              <w:rPr>
                <w:b/>
              </w:rPr>
            </w:pPr>
            <w:r w:rsidRPr="00723CCD">
              <w:rPr>
                <w:b/>
              </w:rPr>
              <w:t>Prvotna dolžina stranice</w:t>
            </w:r>
          </w:p>
        </w:tc>
        <w:tc>
          <w:tcPr>
            <w:tcW w:w="1003" w:type="dxa"/>
            <w:shd w:val="clear" w:color="auto" w:fill="auto"/>
          </w:tcPr>
          <w:p w:rsidR="008E6FD1" w:rsidRPr="00723CCD" w:rsidRDefault="008E6FD1" w:rsidP="00723CCD">
            <w:pPr>
              <w:spacing w:after="0" w:line="240" w:lineRule="auto"/>
              <w:rPr>
                <w:b/>
              </w:rPr>
            </w:pPr>
            <w:r w:rsidRPr="00723CCD">
              <w:rPr>
                <w:b/>
              </w:rPr>
              <w:t>Površina [cm</w:t>
            </w:r>
            <w:r w:rsidRPr="00723CCD">
              <w:rPr>
                <w:b/>
                <w:vertAlign w:val="superscript"/>
              </w:rPr>
              <w:t>2</w:t>
            </w:r>
            <w:r w:rsidRPr="00723CCD">
              <w:rPr>
                <w:b/>
              </w:rPr>
              <w:t>]</w:t>
            </w:r>
          </w:p>
        </w:tc>
        <w:tc>
          <w:tcPr>
            <w:tcW w:w="1597" w:type="dxa"/>
            <w:shd w:val="clear" w:color="auto" w:fill="auto"/>
          </w:tcPr>
          <w:p w:rsidR="008E6FD1" w:rsidRPr="00723CCD" w:rsidRDefault="008E6FD1" w:rsidP="00723CCD">
            <w:pPr>
              <w:spacing w:after="0" w:line="240" w:lineRule="auto"/>
              <w:rPr>
                <w:b/>
              </w:rPr>
            </w:pPr>
            <w:r w:rsidRPr="00723CCD">
              <w:rPr>
                <w:b/>
              </w:rPr>
              <w:t>Prostornina [cm</w:t>
            </w:r>
            <w:r w:rsidRPr="00723CCD">
              <w:rPr>
                <w:b/>
                <w:vertAlign w:val="superscript"/>
              </w:rPr>
              <w:t>3</w:t>
            </w:r>
            <w:r w:rsidRPr="00723CCD">
              <w:rPr>
                <w:b/>
              </w:rPr>
              <w:t>]</w:t>
            </w:r>
          </w:p>
        </w:tc>
        <w:tc>
          <w:tcPr>
            <w:tcW w:w="1511" w:type="dxa"/>
            <w:shd w:val="clear" w:color="auto" w:fill="auto"/>
          </w:tcPr>
          <w:p w:rsidR="008E6FD1" w:rsidRPr="00723CCD" w:rsidRDefault="008E6FD1" w:rsidP="00723CCD">
            <w:pPr>
              <w:spacing w:after="0" w:line="240" w:lineRule="auto"/>
              <w:rPr>
                <w:b/>
              </w:rPr>
            </w:pPr>
            <w:r w:rsidRPr="00723CCD">
              <w:rPr>
                <w:b/>
              </w:rPr>
              <w:t>Razmerje P:V</w:t>
            </w:r>
          </w:p>
        </w:tc>
        <w:tc>
          <w:tcPr>
            <w:tcW w:w="1368" w:type="dxa"/>
            <w:shd w:val="clear" w:color="auto" w:fill="auto"/>
          </w:tcPr>
          <w:p w:rsidR="008E6FD1" w:rsidRPr="00723CCD" w:rsidRDefault="008E6FD1" w:rsidP="00723CCD">
            <w:pPr>
              <w:spacing w:after="0" w:line="240" w:lineRule="auto"/>
              <w:rPr>
                <w:b/>
              </w:rPr>
            </w:pPr>
            <w:r w:rsidRPr="00723CCD">
              <w:rPr>
                <w:b/>
              </w:rPr>
              <w:t>[cm]</w:t>
            </w:r>
          </w:p>
        </w:tc>
      </w:tr>
      <w:tr w:rsidR="008E6FD1" w:rsidRPr="00723CCD" w:rsidTr="00723CCD">
        <w:tc>
          <w:tcPr>
            <w:tcW w:w="2518" w:type="dxa"/>
            <w:shd w:val="clear" w:color="auto" w:fill="auto"/>
          </w:tcPr>
          <w:p w:rsidR="008E6FD1" w:rsidRPr="00723CCD" w:rsidRDefault="005A530A" w:rsidP="00723CCD">
            <w:pPr>
              <w:spacing w:after="0" w:line="240" w:lineRule="auto"/>
            </w:pPr>
            <w:r w:rsidRPr="00723CCD">
              <w:t>3 cm</w:t>
            </w:r>
          </w:p>
        </w:tc>
        <w:tc>
          <w:tcPr>
            <w:tcW w:w="1003" w:type="dxa"/>
            <w:shd w:val="clear" w:color="auto" w:fill="auto"/>
          </w:tcPr>
          <w:p w:rsidR="008E6FD1" w:rsidRPr="00723CCD" w:rsidRDefault="008B25AE" w:rsidP="00723CCD">
            <w:pPr>
              <w:spacing w:after="0" w:line="240" w:lineRule="auto"/>
            </w:pPr>
            <w:r w:rsidRPr="00723CCD">
              <w:t>29,04</w:t>
            </w:r>
          </w:p>
        </w:tc>
        <w:tc>
          <w:tcPr>
            <w:tcW w:w="1597" w:type="dxa"/>
            <w:shd w:val="clear" w:color="auto" w:fill="auto"/>
          </w:tcPr>
          <w:p w:rsidR="008E6FD1" w:rsidRPr="00723CCD" w:rsidRDefault="005A530A" w:rsidP="00723CCD">
            <w:pPr>
              <w:spacing w:after="0" w:line="240" w:lineRule="auto"/>
            </w:pPr>
            <w:r w:rsidRPr="00723CCD">
              <w:t>10,648</w:t>
            </w:r>
          </w:p>
        </w:tc>
        <w:tc>
          <w:tcPr>
            <w:tcW w:w="1511" w:type="dxa"/>
            <w:shd w:val="clear" w:color="auto" w:fill="auto"/>
          </w:tcPr>
          <w:p w:rsidR="008E6FD1" w:rsidRPr="00723CCD" w:rsidRDefault="008B25AE" w:rsidP="00723CCD">
            <w:pPr>
              <w:spacing w:after="0" w:line="240" w:lineRule="auto"/>
            </w:pPr>
            <w:r w:rsidRPr="00723CCD">
              <w:t>2,73</w:t>
            </w:r>
          </w:p>
        </w:tc>
        <w:tc>
          <w:tcPr>
            <w:tcW w:w="1368" w:type="dxa"/>
            <w:shd w:val="clear" w:color="auto" w:fill="auto"/>
          </w:tcPr>
          <w:p w:rsidR="008E6FD1" w:rsidRPr="00723CCD" w:rsidRDefault="008E6FD1" w:rsidP="00723CCD">
            <w:pPr>
              <w:spacing w:after="0" w:line="240" w:lineRule="auto"/>
            </w:pPr>
            <w:r w:rsidRPr="00723CCD">
              <w:t>0,4</w:t>
            </w:r>
          </w:p>
        </w:tc>
      </w:tr>
      <w:tr w:rsidR="008E6FD1" w:rsidRPr="00723CCD" w:rsidTr="00723CCD">
        <w:tc>
          <w:tcPr>
            <w:tcW w:w="2518" w:type="dxa"/>
            <w:shd w:val="clear" w:color="auto" w:fill="auto"/>
          </w:tcPr>
          <w:p w:rsidR="008E6FD1" w:rsidRPr="00723CCD" w:rsidRDefault="005A530A" w:rsidP="00723CCD">
            <w:pPr>
              <w:spacing w:after="0" w:line="240" w:lineRule="auto"/>
            </w:pPr>
            <w:r w:rsidRPr="00723CCD">
              <w:t>2 cm</w:t>
            </w:r>
          </w:p>
        </w:tc>
        <w:tc>
          <w:tcPr>
            <w:tcW w:w="1003" w:type="dxa"/>
            <w:shd w:val="clear" w:color="auto" w:fill="auto"/>
          </w:tcPr>
          <w:p w:rsidR="008E6FD1" w:rsidRPr="00723CCD" w:rsidRDefault="008B25AE" w:rsidP="00723CCD">
            <w:pPr>
              <w:spacing w:after="0" w:line="240" w:lineRule="auto"/>
            </w:pPr>
            <w:r w:rsidRPr="00723CCD">
              <w:t>8,64</w:t>
            </w:r>
          </w:p>
        </w:tc>
        <w:tc>
          <w:tcPr>
            <w:tcW w:w="1597" w:type="dxa"/>
            <w:shd w:val="clear" w:color="auto" w:fill="auto"/>
          </w:tcPr>
          <w:p w:rsidR="008E6FD1" w:rsidRPr="00723CCD" w:rsidRDefault="005A530A" w:rsidP="00723CCD">
            <w:pPr>
              <w:spacing w:after="0" w:line="240" w:lineRule="auto"/>
            </w:pPr>
            <w:r w:rsidRPr="00723CCD">
              <w:t>2,986</w:t>
            </w:r>
          </w:p>
        </w:tc>
        <w:tc>
          <w:tcPr>
            <w:tcW w:w="1511" w:type="dxa"/>
            <w:shd w:val="clear" w:color="auto" w:fill="auto"/>
          </w:tcPr>
          <w:p w:rsidR="008E6FD1" w:rsidRPr="00723CCD" w:rsidRDefault="008B25AE" w:rsidP="00723CCD">
            <w:pPr>
              <w:spacing w:after="0" w:line="240" w:lineRule="auto"/>
            </w:pPr>
            <w:r w:rsidRPr="00723CCD">
              <w:t>2,89</w:t>
            </w:r>
          </w:p>
        </w:tc>
        <w:tc>
          <w:tcPr>
            <w:tcW w:w="1368" w:type="dxa"/>
            <w:shd w:val="clear" w:color="auto" w:fill="auto"/>
          </w:tcPr>
          <w:p w:rsidR="008E6FD1" w:rsidRPr="00723CCD" w:rsidRDefault="008E6FD1" w:rsidP="00723CCD">
            <w:pPr>
              <w:spacing w:after="0" w:line="240" w:lineRule="auto"/>
            </w:pPr>
            <w:r w:rsidRPr="00723CCD">
              <w:t>0,4</w:t>
            </w:r>
          </w:p>
        </w:tc>
      </w:tr>
      <w:tr w:rsidR="008E6FD1" w:rsidRPr="00723CCD" w:rsidTr="00723CCD">
        <w:tc>
          <w:tcPr>
            <w:tcW w:w="2518" w:type="dxa"/>
            <w:shd w:val="clear" w:color="auto" w:fill="auto"/>
          </w:tcPr>
          <w:p w:rsidR="008E6FD1" w:rsidRPr="00723CCD" w:rsidRDefault="005A530A" w:rsidP="00723CCD">
            <w:pPr>
              <w:spacing w:after="0" w:line="240" w:lineRule="auto"/>
            </w:pPr>
            <w:r w:rsidRPr="00723CCD">
              <w:t>1 cm</w:t>
            </w:r>
          </w:p>
        </w:tc>
        <w:tc>
          <w:tcPr>
            <w:tcW w:w="1003" w:type="dxa"/>
            <w:shd w:val="clear" w:color="auto" w:fill="auto"/>
          </w:tcPr>
          <w:p w:rsidR="008E6FD1" w:rsidRPr="00723CCD" w:rsidRDefault="008B25AE" w:rsidP="00723CCD">
            <w:pPr>
              <w:spacing w:after="0" w:line="240" w:lineRule="auto"/>
            </w:pPr>
            <w:r w:rsidRPr="00723CCD">
              <w:t>3,6</w:t>
            </w:r>
          </w:p>
        </w:tc>
        <w:tc>
          <w:tcPr>
            <w:tcW w:w="1597" w:type="dxa"/>
            <w:shd w:val="clear" w:color="auto" w:fill="auto"/>
          </w:tcPr>
          <w:p w:rsidR="008E6FD1" w:rsidRPr="00723CCD" w:rsidRDefault="008B25AE" w:rsidP="00723CCD">
            <w:pPr>
              <w:spacing w:after="0" w:line="240" w:lineRule="auto"/>
            </w:pPr>
            <w:r w:rsidRPr="00723CCD">
              <w:t>0,06</w:t>
            </w:r>
            <w:r w:rsidR="005A530A" w:rsidRPr="00723CCD">
              <w:t>4</w:t>
            </w:r>
          </w:p>
        </w:tc>
        <w:tc>
          <w:tcPr>
            <w:tcW w:w="1511" w:type="dxa"/>
            <w:shd w:val="clear" w:color="auto" w:fill="auto"/>
          </w:tcPr>
          <w:p w:rsidR="008E6FD1" w:rsidRPr="00723CCD" w:rsidRDefault="008B25AE" w:rsidP="00723CCD">
            <w:pPr>
              <w:spacing w:after="0" w:line="240" w:lineRule="auto"/>
            </w:pPr>
            <w:r w:rsidRPr="00723CCD">
              <w:t>5,63</w:t>
            </w:r>
          </w:p>
        </w:tc>
        <w:tc>
          <w:tcPr>
            <w:tcW w:w="1368" w:type="dxa"/>
            <w:shd w:val="clear" w:color="auto" w:fill="auto"/>
          </w:tcPr>
          <w:p w:rsidR="008E6FD1" w:rsidRPr="00723CCD" w:rsidRDefault="008E6FD1" w:rsidP="00723CCD">
            <w:pPr>
              <w:spacing w:after="0" w:line="240" w:lineRule="auto"/>
            </w:pPr>
            <w:r w:rsidRPr="00723CCD">
              <w:t>0,3</w:t>
            </w:r>
          </w:p>
        </w:tc>
      </w:tr>
    </w:tbl>
    <w:p w:rsidR="008E6FD1" w:rsidRPr="00723CCD" w:rsidRDefault="005A530A" w:rsidP="005A530A">
      <w:pPr>
        <w:pStyle w:val="Caption"/>
        <w:rPr>
          <w:color w:val="76923C"/>
        </w:rPr>
      </w:pPr>
      <w:r w:rsidRPr="00723CCD">
        <w:rPr>
          <w:color w:val="76923C"/>
        </w:rPr>
        <w:t xml:space="preserve">Tabela </w:t>
      </w:r>
      <w:r w:rsidR="00D774AD" w:rsidRPr="00723CCD">
        <w:rPr>
          <w:color w:val="76923C"/>
        </w:rPr>
        <w:fldChar w:fldCharType="begin"/>
      </w:r>
      <w:r w:rsidRPr="00723CCD">
        <w:rPr>
          <w:color w:val="76923C"/>
        </w:rPr>
        <w:instrText xml:space="preserve"> SEQ Tabela \* ARABIC </w:instrText>
      </w:r>
      <w:r w:rsidR="00D774AD" w:rsidRPr="00723CCD">
        <w:rPr>
          <w:color w:val="76923C"/>
        </w:rPr>
        <w:fldChar w:fldCharType="separate"/>
      </w:r>
      <w:r w:rsidRPr="00723CCD">
        <w:rPr>
          <w:noProof/>
          <w:color w:val="76923C"/>
        </w:rPr>
        <w:t>2</w:t>
      </w:r>
      <w:r w:rsidR="00D774AD" w:rsidRPr="00723CCD">
        <w:rPr>
          <w:color w:val="76923C"/>
        </w:rPr>
        <w:fldChar w:fldCharType="end"/>
      </w:r>
      <w:r w:rsidRPr="00723CCD">
        <w:rPr>
          <w:color w:val="76923C"/>
        </w:rPr>
        <w:t>: Rezultati po merjenju</w:t>
      </w:r>
    </w:p>
    <w:p w:rsidR="005A530A" w:rsidRDefault="005A530A" w:rsidP="005A530A">
      <w:r>
        <w:t xml:space="preserve">Na začetku vidimo, da je razmerje med površino in volumnom kocke največje pri najmanjši kocki in najmanjše pri največji kocki. Pri največji kocki je to razmerje največje. Tudi po končanem delu vidimo, da se je razmerje ohranilo tako. </w:t>
      </w:r>
      <w:r w:rsidR="006E2853">
        <w:t>Pri kockama z obsegoma 2 cm in 3 cm je že pred preizkusom razmerje zelo podobno in tudi po tem, ko jih vzamemo iz raztopine NaOH je razlika minimalna. Vidna razlika pa je pri kocki s stranico 1 cm.</w:t>
      </w:r>
    </w:p>
    <w:p w:rsidR="006E2853" w:rsidRDefault="006E2853" w:rsidP="006E2853">
      <w:pPr>
        <w:pStyle w:val="Heading1"/>
      </w:pPr>
      <w:r>
        <w:t>Razprava</w:t>
      </w:r>
    </w:p>
    <w:p w:rsidR="006E2853" w:rsidRDefault="006E2853" w:rsidP="006E2853">
      <w:r>
        <w:t>Če primerjamo kocko s stranico 3 cm in mikroskopsko majhno kocko, veliko kot celica v luskolistu čebule, ugotovimo, da je površina prve mnogo večja od površine slednje. Vendar pa, če prim</w:t>
      </w:r>
      <w:r w:rsidR="008E2CD0">
        <w:t>erjamo površino</w:t>
      </w:r>
      <w:r>
        <w:t xml:space="preserve"> enakih kock </w:t>
      </w:r>
      <w:r w:rsidR="008E2CD0">
        <w:t xml:space="preserve">v razmerju s svojo prostornino, je površina druge kocke mnogokrat večja. </w:t>
      </w:r>
    </w:p>
    <w:p w:rsidR="00733333" w:rsidRPr="00BD2BE0" w:rsidRDefault="008E2CD0" w:rsidP="00733333">
      <w:r>
        <w:t xml:space="preserve">Za prodiranje raztopine NaOH (baza) v kocke agarja imamo dokaz, saj je fenolftalein indikator za baze in se v njihovi prisotnosti obarva vijolično. Tako smo lahko tudi videli, kako daleč je difuzija potekla. </w:t>
      </w:r>
      <w:r w:rsidR="00733333">
        <w:t>Iz kock pa je izhajal fenolftalein. Posledica izločanja fenolftaleina je obarvanost prozorne raztopine NaOH v vijolično barvo.</w:t>
      </w:r>
    </w:p>
    <w:p w:rsidR="008E2CD0" w:rsidRDefault="008E2CD0" w:rsidP="006E2853">
      <w:r>
        <w:t>Če bi bile kocke agarja žive celice in NaOH življenjska snov, bi imela najučinkovitejšo razmerje med površino in volumnom najmanjša kocka.</w:t>
      </w:r>
    </w:p>
    <w:p w:rsidR="008E2CD0" w:rsidRDefault="008E2CD0" w:rsidP="006E2853">
      <w:r>
        <w:t>Ko celica raste, se razmerje med površino in volumnom manjša.</w:t>
      </w:r>
    </w:p>
    <w:p w:rsidR="008E2CD0" w:rsidRDefault="008E2CD0" w:rsidP="006E2853">
      <w:r>
        <w:t>Ko se celica razdeli na dve enako veliki enoti, njun skupni volumen ostane enak. Torej ima vsaka celica polovico volumna prejšnje, velike celice. To pa ne velja za površino. Vsota površin hčerinskih celic je večja od površine velike celice. Tako lahko razložimo, zakaj je za celico ugodneje (glede na razmerje med površino in volumnom), da se deli.</w:t>
      </w:r>
    </w:p>
    <w:p w:rsidR="008E2CD0" w:rsidRDefault="008E2CD0" w:rsidP="006E2853">
      <w:r>
        <w:lastRenderedPageBreak/>
        <w:t>Hipotezi:</w:t>
      </w:r>
      <w:r>
        <w:br/>
        <w:t>Rast celice postane počasnejša, ko se celica poveča, saj skozi površino telesa ne more vsrkati dovolj potrebnih snovi, s katerimi zagotavlja rast. Razmerje med površino in volumnom se preveč zmanjša.</w:t>
      </w:r>
    </w:p>
    <w:p w:rsidR="008E2CD0" w:rsidRDefault="008E2CD0" w:rsidP="006E2853">
      <w:r>
        <w:t xml:space="preserve">Delitev vpliva na sposobnost celice, da absorbira snovi za svojo rast tako, da spet poveča </w:t>
      </w:r>
      <w:r w:rsidR="008B25AE">
        <w:t>razmerje med površino in volumnom celice.</w:t>
      </w:r>
    </w:p>
    <w:p w:rsidR="008B25AE" w:rsidRDefault="008B25AE" w:rsidP="008B25AE">
      <w:pPr>
        <w:pStyle w:val="Heading1"/>
      </w:pPr>
      <w:r>
        <w:t>Zaključek</w:t>
      </w:r>
    </w:p>
    <w:p w:rsidR="001D1DB3" w:rsidRPr="00723CCD" w:rsidRDefault="008B25AE" w:rsidP="008B25AE">
      <w:pPr>
        <w:rPr>
          <w:rFonts w:cs="Calibri"/>
          <w:shd w:val="clear" w:color="auto" w:fill="FFFFFF"/>
        </w:rPr>
      </w:pPr>
      <w:r w:rsidRPr="00723CCD">
        <w:rPr>
          <w:rFonts w:cs="Calibri"/>
          <w:bCs/>
          <w:shd w:val="clear" w:color="auto" w:fill="FFFFFF"/>
        </w:rPr>
        <w:t>Difuzíja</w:t>
      </w:r>
      <w:r w:rsidRPr="00723CCD">
        <w:rPr>
          <w:rStyle w:val="apple-converted-space"/>
          <w:rFonts w:cs="Calibri"/>
          <w:shd w:val="clear" w:color="auto" w:fill="FFFFFF"/>
        </w:rPr>
        <w:t> </w:t>
      </w:r>
      <w:r w:rsidRPr="00723CCD">
        <w:rPr>
          <w:rFonts w:cs="Calibri"/>
          <w:shd w:val="clear" w:color="auto" w:fill="FFFFFF"/>
        </w:rPr>
        <w:t>je spontano razširjanje</w:t>
      </w:r>
      <w:r w:rsidRPr="00723CCD">
        <w:rPr>
          <w:rStyle w:val="apple-converted-space"/>
          <w:rFonts w:cs="Calibri"/>
          <w:shd w:val="clear" w:color="auto" w:fill="FFFFFF"/>
        </w:rPr>
        <w:t> </w:t>
      </w:r>
      <w:hyperlink r:id="rId8" w:tooltip="Snov" w:history="1">
        <w:r w:rsidRPr="00723CCD">
          <w:rPr>
            <w:rStyle w:val="Hyperlink"/>
            <w:rFonts w:cs="Calibri"/>
            <w:color w:val="auto"/>
            <w:u w:val="none"/>
            <w:shd w:val="clear" w:color="auto" w:fill="FFFFFF"/>
          </w:rPr>
          <w:t>snovi</w:t>
        </w:r>
      </w:hyperlink>
      <w:r w:rsidRPr="00723CCD">
        <w:rPr>
          <w:rFonts w:cs="Calibri"/>
          <w:shd w:val="clear" w:color="auto" w:fill="FFFFFF"/>
        </w:rPr>
        <w:t>,</w:t>
      </w:r>
      <w:r w:rsidRPr="00723CCD">
        <w:rPr>
          <w:rStyle w:val="apple-converted-space"/>
          <w:rFonts w:cs="Calibri"/>
          <w:shd w:val="clear" w:color="auto" w:fill="FFFFFF"/>
        </w:rPr>
        <w:t> </w:t>
      </w:r>
      <w:hyperlink r:id="rId9" w:tooltip="Toplota" w:history="1">
        <w:r w:rsidRPr="00723CCD">
          <w:rPr>
            <w:rStyle w:val="Hyperlink"/>
            <w:rFonts w:cs="Calibri"/>
            <w:color w:val="auto"/>
            <w:u w:val="none"/>
            <w:shd w:val="clear" w:color="auto" w:fill="FFFFFF"/>
          </w:rPr>
          <w:t>toplote</w:t>
        </w:r>
      </w:hyperlink>
      <w:r w:rsidRPr="00723CCD">
        <w:rPr>
          <w:rStyle w:val="apple-converted-space"/>
          <w:rFonts w:cs="Calibri"/>
          <w:shd w:val="clear" w:color="auto" w:fill="FFFFFF"/>
        </w:rPr>
        <w:t> </w:t>
      </w:r>
      <w:r w:rsidRPr="00723CCD">
        <w:rPr>
          <w:rFonts w:cs="Calibri"/>
          <w:shd w:val="clear" w:color="auto" w:fill="FFFFFF"/>
        </w:rPr>
        <w:t>ali</w:t>
      </w:r>
      <w:r w:rsidRPr="00723CCD">
        <w:rPr>
          <w:rStyle w:val="apple-converted-space"/>
          <w:rFonts w:cs="Calibri"/>
          <w:shd w:val="clear" w:color="auto" w:fill="FFFFFF"/>
        </w:rPr>
        <w:t> </w:t>
      </w:r>
      <w:hyperlink r:id="rId10" w:tooltip="Gibalna količina" w:history="1">
        <w:r w:rsidRPr="00723CCD">
          <w:rPr>
            <w:rStyle w:val="Hyperlink"/>
            <w:rFonts w:cs="Calibri"/>
            <w:color w:val="auto"/>
            <w:u w:val="none"/>
            <w:shd w:val="clear" w:color="auto" w:fill="FFFFFF"/>
          </w:rPr>
          <w:t>gibalne količine</w:t>
        </w:r>
      </w:hyperlink>
      <w:r w:rsidRPr="00723CCD">
        <w:rPr>
          <w:rStyle w:val="apple-converted-space"/>
          <w:rFonts w:cs="Calibri"/>
          <w:shd w:val="clear" w:color="auto" w:fill="FFFFFF"/>
        </w:rPr>
        <w:t> </w:t>
      </w:r>
      <w:r w:rsidRPr="00723CCD">
        <w:rPr>
          <w:rFonts w:cs="Calibri"/>
          <w:shd w:val="clear" w:color="auto" w:fill="FFFFFF"/>
        </w:rPr>
        <w:t xml:space="preserve">zaradi prostorske nehomogenosti odgovarjajočih fizikalnih količin. Je ena od glavnih vrst pasivnega transporta. </w:t>
      </w:r>
    </w:p>
    <w:p w:rsidR="001D1DB3" w:rsidRDefault="001D1DB3" w:rsidP="008B25AE">
      <w:r w:rsidRPr="00B76DDF">
        <w:rPr>
          <w:lang w:val="de-DE"/>
        </w:rPr>
        <w:t xml:space="preserve">Ugotovili smo, da je obarvani pas v vseh </w:t>
      </w:r>
      <w:r w:rsidRPr="001D1DB3">
        <w:t>kockah</w:t>
      </w:r>
      <w:r w:rsidRPr="00B76DDF">
        <w:rPr>
          <w:lang w:val="de-DE"/>
        </w:rPr>
        <w:t xml:space="preserve"> enako širok. </w:t>
      </w:r>
      <w:r>
        <w:t>Obarvani pas je širok 0,3 – 0,4</w:t>
      </w:r>
      <w:r w:rsidRPr="00B76DDF">
        <w:t xml:space="preserve"> centimetra. To pomeni, da je difuzija neodvisna od velikosti celice. Tako lahko sklepamo, da je za celico bolje, da je manjša, zaradi razmerja med površino in prostornino celice, saj bolj ko je celica majhna, bolje je preskrbljena s hranili, saj le ta bolje difundirajo vanjo iz okolja.</w:t>
      </w:r>
    </w:p>
    <w:p w:rsidR="008B25AE" w:rsidRPr="00723CCD" w:rsidRDefault="008B25AE" w:rsidP="008B25AE">
      <w:pPr>
        <w:rPr>
          <w:rFonts w:cs="Calibri"/>
          <w:shd w:val="clear" w:color="auto" w:fill="FFFFFF"/>
        </w:rPr>
      </w:pPr>
      <w:r w:rsidRPr="00723CCD">
        <w:rPr>
          <w:rFonts w:cs="Calibri"/>
          <w:shd w:val="clear" w:color="auto" w:fill="FFFFFF"/>
        </w:rPr>
        <w:t xml:space="preserve">Z vajo smo dosegli namen, saj smo se naučili, kako pomembno je razmerje površina : prostornina za opravljanje celičnih funkcij, spoznali smo difuzijo, ter celično absorbcijo, rast in razmnoževanje. Naša hipoteza je bila potrjena, saj je najbolj uspešna celica, ki je najmanjša, kar posledično pomeni, da ima najbolj ugodno razmerje med površino in volumnom in najbolj kvalitetno opravlja difuzijo.  </w:t>
      </w:r>
    </w:p>
    <w:p w:rsidR="001D1DB3" w:rsidRPr="00723CCD" w:rsidRDefault="001D1DB3" w:rsidP="008B25AE">
      <w:pPr>
        <w:rPr>
          <w:rFonts w:cs="Calibri"/>
          <w:shd w:val="clear" w:color="auto" w:fill="FFFFFF"/>
        </w:rPr>
      </w:pPr>
    </w:p>
    <w:p w:rsidR="00EE2769" w:rsidRDefault="00EE2769" w:rsidP="00EE2769">
      <w:pPr>
        <w:pStyle w:val="Heading1"/>
        <w:rPr>
          <w:shd w:val="clear" w:color="auto" w:fill="FFFFFF"/>
        </w:rPr>
      </w:pPr>
      <w:r>
        <w:rPr>
          <w:shd w:val="clear" w:color="auto" w:fill="FFFFFF"/>
        </w:rPr>
        <w:t>Viri:</w:t>
      </w:r>
    </w:p>
    <w:p w:rsidR="00EE2769" w:rsidRDefault="00EE2769" w:rsidP="00EE2769">
      <w:r>
        <w:t>Biologija, navodila za laboratorijsko delo</w:t>
      </w:r>
    </w:p>
    <w:p w:rsidR="00EE2769" w:rsidRPr="00EE2769" w:rsidRDefault="00060CF4" w:rsidP="00EE2769">
      <w:hyperlink r:id="rId11" w:history="1">
        <w:r w:rsidR="00EE2769">
          <w:rPr>
            <w:rStyle w:val="Hyperlink"/>
          </w:rPr>
          <w:t>http://sl.wikipedia.org/wiki/Difuzija</w:t>
        </w:r>
      </w:hyperlink>
    </w:p>
    <w:sectPr w:rsidR="00EE2769" w:rsidRPr="00EE2769" w:rsidSect="006D1FC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D7EEB"/>
    <w:multiLevelType w:val="hybridMultilevel"/>
    <w:tmpl w:val="4280A9CC"/>
    <w:lvl w:ilvl="0" w:tplc="3350E4B4">
      <w:start w:val="1"/>
      <w:numFmt w:val="bullet"/>
      <w:lvlText w:val=""/>
      <w:lvlJc w:val="left"/>
      <w:pPr>
        <w:tabs>
          <w:tab w:val="num" w:pos="840"/>
        </w:tabs>
        <w:ind w:left="840" w:hanging="360"/>
      </w:pPr>
      <w:rPr>
        <w:rFonts w:ascii="Symbol" w:hAnsi="Symbol" w:cs="Times New Roman" w:hint="default"/>
        <w:color w:val="auto"/>
        <w:sz w:val="24"/>
      </w:rPr>
    </w:lvl>
    <w:lvl w:ilvl="1" w:tplc="9200713E">
      <w:start w:val="1"/>
      <w:numFmt w:val="bullet"/>
      <w:lvlText w:val="-"/>
      <w:lvlJc w:val="left"/>
      <w:pPr>
        <w:tabs>
          <w:tab w:val="num" w:pos="1440"/>
        </w:tabs>
        <w:ind w:left="1440" w:hanging="360"/>
      </w:pPr>
      <w:rPr>
        <w:rFonts w:ascii="Times New Roman" w:eastAsia="Times New Roman" w:hAnsi="Times New Roman" w:cs="Times New Roman" w:hint="default"/>
      </w:rPr>
    </w:lvl>
    <w:lvl w:ilvl="2" w:tplc="3350E4B4">
      <w:start w:val="1"/>
      <w:numFmt w:val="bullet"/>
      <w:lvlText w:val=""/>
      <w:lvlJc w:val="left"/>
      <w:pPr>
        <w:tabs>
          <w:tab w:val="num" w:pos="2160"/>
        </w:tabs>
        <w:ind w:left="2160" w:hanging="360"/>
      </w:pPr>
      <w:rPr>
        <w:rFonts w:ascii="Symbol" w:hAnsi="Symbol" w:cs="Times New Roman" w:hint="default"/>
        <w:color w:val="auto"/>
        <w:sz w:val="24"/>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FC8"/>
    <w:rsid w:val="00060CF4"/>
    <w:rsid w:val="00101E3E"/>
    <w:rsid w:val="001D1DB3"/>
    <w:rsid w:val="00294588"/>
    <w:rsid w:val="00320A53"/>
    <w:rsid w:val="00331E96"/>
    <w:rsid w:val="003B2801"/>
    <w:rsid w:val="00435E17"/>
    <w:rsid w:val="005A530A"/>
    <w:rsid w:val="006D1FC8"/>
    <w:rsid w:val="006E2853"/>
    <w:rsid w:val="007117C0"/>
    <w:rsid w:val="00723CCD"/>
    <w:rsid w:val="00733333"/>
    <w:rsid w:val="007B0BF4"/>
    <w:rsid w:val="00823B4F"/>
    <w:rsid w:val="008B25AE"/>
    <w:rsid w:val="008E2CD0"/>
    <w:rsid w:val="008E6FD1"/>
    <w:rsid w:val="009A2F10"/>
    <w:rsid w:val="00A56BDF"/>
    <w:rsid w:val="00B22351"/>
    <w:rsid w:val="00BF12C9"/>
    <w:rsid w:val="00C14E36"/>
    <w:rsid w:val="00CF560F"/>
    <w:rsid w:val="00D774AD"/>
    <w:rsid w:val="00EA6E96"/>
    <w:rsid w:val="00EE2769"/>
    <w:rsid w:val="00FA0C84"/>
    <w:rsid w:val="00FD51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C9"/>
    <w:pPr>
      <w:spacing w:after="200" w:line="276" w:lineRule="auto"/>
    </w:pPr>
    <w:rPr>
      <w:sz w:val="22"/>
      <w:szCs w:val="22"/>
      <w:lang w:eastAsia="en-US"/>
    </w:rPr>
  </w:style>
  <w:style w:type="paragraph" w:styleId="Heading1">
    <w:name w:val="heading 1"/>
    <w:basedOn w:val="Normal"/>
    <w:next w:val="Normal"/>
    <w:link w:val="Heading1Char"/>
    <w:uiPriority w:val="9"/>
    <w:qFormat/>
    <w:rsid w:val="006D1FC8"/>
    <w:pPr>
      <w:keepNext/>
      <w:keepLines/>
      <w:spacing w:before="480" w:after="0"/>
      <w:outlineLvl w:val="0"/>
    </w:pPr>
    <w:rPr>
      <w:rFonts w:ascii="Cambria" w:eastAsia="Times New Roman" w:hAnsi="Cambria"/>
      <w:b/>
      <w:bCs/>
      <w:color w:val="76923C"/>
      <w:sz w:val="28"/>
      <w:szCs w:val="28"/>
    </w:rPr>
  </w:style>
  <w:style w:type="paragraph" w:styleId="Heading2">
    <w:name w:val="heading 2"/>
    <w:basedOn w:val="Normal"/>
    <w:next w:val="Normal"/>
    <w:link w:val="Heading2Char"/>
    <w:uiPriority w:val="9"/>
    <w:unhideWhenUsed/>
    <w:qFormat/>
    <w:rsid w:val="00EA6E96"/>
    <w:pPr>
      <w:keepNext/>
      <w:keepLines/>
      <w:spacing w:before="200" w:after="0"/>
      <w:outlineLvl w:val="1"/>
    </w:pPr>
    <w:rPr>
      <w:rFonts w:ascii="Cambria" w:eastAsia="Times New Roman" w:hAnsi="Cambria"/>
      <w:b/>
      <w:bCs/>
      <w:color w:val="76923C"/>
      <w:sz w:val="26"/>
      <w:szCs w:val="26"/>
    </w:rPr>
  </w:style>
  <w:style w:type="paragraph" w:styleId="Heading3">
    <w:name w:val="heading 3"/>
    <w:basedOn w:val="Normal"/>
    <w:next w:val="Normal"/>
    <w:link w:val="Heading3Char"/>
    <w:uiPriority w:val="9"/>
    <w:unhideWhenUsed/>
    <w:qFormat/>
    <w:rsid w:val="00331E96"/>
    <w:pPr>
      <w:keepNext/>
      <w:keepLines/>
      <w:spacing w:before="200" w:after="0"/>
      <w:outlineLvl w:val="2"/>
    </w:pPr>
    <w:rPr>
      <w:rFonts w:ascii="Cambria" w:eastAsia="Times New Roman" w:hAnsi="Cambria"/>
      <w:b/>
      <w:bCs/>
      <w:color w:val="C2D6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1FC8"/>
    <w:rPr>
      <w:rFonts w:eastAsia="Times New Roman"/>
      <w:sz w:val="22"/>
      <w:szCs w:val="22"/>
      <w:lang w:eastAsia="en-US"/>
    </w:rPr>
  </w:style>
  <w:style w:type="character" w:customStyle="1" w:styleId="NoSpacingChar">
    <w:name w:val="No Spacing Char"/>
    <w:link w:val="NoSpacing"/>
    <w:uiPriority w:val="1"/>
    <w:rsid w:val="006D1FC8"/>
    <w:rPr>
      <w:rFonts w:eastAsia="Times New Roman"/>
    </w:rPr>
  </w:style>
  <w:style w:type="paragraph" w:styleId="BalloonText">
    <w:name w:val="Balloon Text"/>
    <w:basedOn w:val="Normal"/>
    <w:link w:val="BalloonTextChar"/>
    <w:uiPriority w:val="99"/>
    <w:semiHidden/>
    <w:unhideWhenUsed/>
    <w:rsid w:val="006D1F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FC8"/>
    <w:rPr>
      <w:rFonts w:ascii="Tahoma" w:hAnsi="Tahoma" w:cs="Tahoma"/>
      <w:sz w:val="16"/>
      <w:szCs w:val="16"/>
    </w:rPr>
  </w:style>
  <w:style w:type="character" w:customStyle="1" w:styleId="Heading1Char">
    <w:name w:val="Heading 1 Char"/>
    <w:link w:val="Heading1"/>
    <w:uiPriority w:val="9"/>
    <w:rsid w:val="006D1FC8"/>
    <w:rPr>
      <w:rFonts w:ascii="Cambria" w:eastAsia="Times New Roman" w:hAnsi="Cambria" w:cs="Times New Roman"/>
      <w:b/>
      <w:bCs/>
      <w:color w:val="76923C"/>
      <w:sz w:val="28"/>
      <w:szCs w:val="28"/>
    </w:rPr>
  </w:style>
  <w:style w:type="character" w:customStyle="1" w:styleId="Heading2Char">
    <w:name w:val="Heading 2 Char"/>
    <w:link w:val="Heading2"/>
    <w:uiPriority w:val="9"/>
    <w:rsid w:val="00EA6E96"/>
    <w:rPr>
      <w:rFonts w:ascii="Cambria" w:eastAsia="Times New Roman" w:hAnsi="Cambria" w:cs="Times New Roman"/>
      <w:b/>
      <w:bCs/>
      <w:color w:val="76923C"/>
      <w:sz w:val="26"/>
      <w:szCs w:val="26"/>
    </w:rPr>
  </w:style>
  <w:style w:type="table" w:styleId="TableGrid">
    <w:name w:val="Table Grid"/>
    <w:basedOn w:val="TableNormal"/>
    <w:uiPriority w:val="59"/>
    <w:rsid w:val="00EA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E6FD1"/>
    <w:pPr>
      <w:spacing w:line="240" w:lineRule="auto"/>
    </w:pPr>
    <w:rPr>
      <w:b/>
      <w:bCs/>
      <w:color w:val="4F81BD"/>
      <w:sz w:val="18"/>
      <w:szCs w:val="18"/>
    </w:rPr>
  </w:style>
  <w:style w:type="character" w:customStyle="1" w:styleId="apple-converted-space">
    <w:name w:val="apple-converted-space"/>
    <w:basedOn w:val="DefaultParagraphFont"/>
    <w:rsid w:val="008B25AE"/>
  </w:style>
  <w:style w:type="character" w:styleId="Hyperlink">
    <w:name w:val="Hyperlink"/>
    <w:uiPriority w:val="99"/>
    <w:semiHidden/>
    <w:unhideWhenUsed/>
    <w:rsid w:val="008B25AE"/>
    <w:rPr>
      <w:color w:val="0000FF"/>
      <w:u w:val="single"/>
    </w:rPr>
  </w:style>
  <w:style w:type="character" w:customStyle="1" w:styleId="Heading3Char">
    <w:name w:val="Heading 3 Char"/>
    <w:link w:val="Heading3"/>
    <w:uiPriority w:val="9"/>
    <w:rsid w:val="00331E96"/>
    <w:rPr>
      <w:rFonts w:ascii="Cambria" w:eastAsia="Times New Roman" w:hAnsi="Cambria" w:cs="Times New Roman"/>
      <w:b/>
      <w:bCs/>
      <w:color w:val="C2D69B"/>
    </w:rPr>
  </w:style>
  <w:style w:type="paragraph" w:styleId="BodyText2">
    <w:name w:val="Body Text 2"/>
    <w:basedOn w:val="Normal"/>
    <w:link w:val="BodyText2Char"/>
    <w:rsid w:val="00733333"/>
    <w:pPr>
      <w:spacing w:after="0" w:line="240" w:lineRule="auto"/>
      <w:jc w:val="both"/>
    </w:pPr>
    <w:rPr>
      <w:rFonts w:ascii="Times New Roman" w:eastAsia="Times New Roman" w:hAnsi="Times New Roman"/>
      <w:bCs/>
      <w:iCs/>
      <w:sz w:val="24"/>
      <w:szCs w:val="24"/>
      <w:lang w:eastAsia="sl-SI"/>
    </w:rPr>
  </w:style>
  <w:style w:type="character" w:customStyle="1" w:styleId="BodyText2Char">
    <w:name w:val="Body Text 2 Char"/>
    <w:link w:val="BodyText2"/>
    <w:rsid w:val="00733333"/>
    <w:rPr>
      <w:rFonts w:ascii="Times New Roman" w:eastAsia="Times New Roman" w:hAnsi="Times New Roman" w:cs="Times New Roman"/>
      <w:bCs/>
      <w:iC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Snov"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wikipedia.org/wiki/Difuzija" TargetMode="External"/><Relationship Id="rId5" Type="http://schemas.openxmlformats.org/officeDocument/2006/relationships/settings" Target="settings.xml"/><Relationship Id="rId10" Type="http://schemas.openxmlformats.org/officeDocument/2006/relationships/hyperlink" Target="http://sl.wikipedia.org/wiki/Gibalna_koli%C4%8Dina" TargetMode="External"/><Relationship Id="rId4" Type="http://schemas.openxmlformats.org/officeDocument/2006/relationships/styles" Target="styles.xml"/><Relationship Id="rId9" Type="http://schemas.openxmlformats.org/officeDocument/2006/relationships/hyperlink" Target="http://sl.wikipedia.org/wiki/Topl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DD454E-A321-46B1-AF8C-3539C25F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Links>
    <vt:vector size="24" baseType="variant">
      <vt:variant>
        <vt:i4>1769538</vt:i4>
      </vt:variant>
      <vt:variant>
        <vt:i4>15</vt:i4>
      </vt:variant>
      <vt:variant>
        <vt:i4>0</vt:i4>
      </vt:variant>
      <vt:variant>
        <vt:i4>5</vt:i4>
      </vt:variant>
      <vt:variant>
        <vt:lpwstr>http://sl.wikipedia.org/wiki/Difuzija</vt:lpwstr>
      </vt:variant>
      <vt:variant>
        <vt:lpwstr/>
      </vt:variant>
      <vt:variant>
        <vt:i4>2555972</vt:i4>
      </vt:variant>
      <vt:variant>
        <vt:i4>12</vt:i4>
      </vt:variant>
      <vt:variant>
        <vt:i4>0</vt:i4>
      </vt:variant>
      <vt:variant>
        <vt:i4>5</vt:i4>
      </vt:variant>
      <vt:variant>
        <vt:lpwstr>http://sl.wikipedia.org/wiki/Gibalna_koli%C4%8Dina</vt:lpwstr>
      </vt:variant>
      <vt:variant>
        <vt:lpwstr/>
      </vt:variant>
      <vt:variant>
        <vt:i4>196672</vt:i4>
      </vt:variant>
      <vt:variant>
        <vt:i4>9</vt:i4>
      </vt:variant>
      <vt:variant>
        <vt:i4>0</vt:i4>
      </vt:variant>
      <vt:variant>
        <vt:i4>5</vt:i4>
      </vt:variant>
      <vt:variant>
        <vt:lpwstr>http://sl.wikipedia.org/wiki/Toplota</vt:lpwstr>
      </vt:variant>
      <vt:variant>
        <vt:lpwstr/>
      </vt:variant>
      <vt:variant>
        <vt:i4>1376345</vt:i4>
      </vt:variant>
      <vt:variant>
        <vt:i4>6</vt:i4>
      </vt:variant>
      <vt:variant>
        <vt:i4>0</vt:i4>
      </vt:variant>
      <vt:variant>
        <vt:i4>5</vt:i4>
      </vt:variant>
      <vt:variant>
        <vt:lpwstr>http://sl.wikipedia.org/wiki/Snov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2019-05-23T10:52:00Z</dcterms:created>
  <dcterms:modified xsi:type="dcterms:W3CDTF">2019-05-23T10:52:00Z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