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4C" w:rsidRDefault="007024D7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color w:val="0000FF"/>
          <w:sz w:val="28"/>
          <w:szCs w:val="28"/>
        </w:rPr>
        <w:t>BILANCA STANJA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096C4C">
        <w:trPr>
          <w:trHeight w:val="13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AKTIVNA BILANČNA POSTAVKA                                                                                   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SREDSTVA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A: STALNA SREDSTVA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I. NEOPREDMETENA DOLGOROČNA SREDSTVA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organizacijski stroški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stroški razvijanja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koncesija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patenti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licence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II. OPREDMETENA OSNOVNA SREDSTVA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zemljišča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zgradbe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stroji in oprema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drobni inventar nad 1 letom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osnovna čreda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več letni nasadi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III.DOLGOROČNE FINANČNE NALOŽBE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delnice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dolgoročo dana posojila</w:t>
            </w:r>
          </w:p>
        </w:tc>
      </w:tr>
      <w:tr w:rsidR="00096C4C">
        <w:trPr>
          <w:trHeight w:val="61"/>
        </w:trPr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B: GIBLJIVA SREDSTVA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I. ZALOGE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zaloge materiala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nedokončane zaloge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zaloge dokončane proizvodnje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zaloge trgovskega blaga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II. POSLOVNE TARJATVE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tarjatve do kupcev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tarjatve do delavcev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tarjatve do države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vstopni DDV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III. KRATKOROČNE FINANČNE NALOŽBE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za prodajo kupljenih delnic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kratkoročna dana posojila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prejete mejnice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IV. DENARNA SREDSTVA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gotovina v blagajni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denarna sredstva na TRR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prejeti čeki</w:t>
            </w:r>
          </w:p>
        </w:tc>
      </w:tr>
      <w:tr w:rsidR="00096C4C">
        <w:tc>
          <w:tcPr>
            <w:tcW w:w="9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  -izdani čeki</w:t>
            </w:r>
          </w:p>
        </w:tc>
      </w:tr>
    </w:tbl>
    <w:p w:rsidR="00096C4C" w:rsidRDefault="00096C4C">
      <w:pPr>
        <w:tabs>
          <w:tab w:val="left" w:pos="443"/>
        </w:tabs>
        <w:autoSpaceDE w:val="0"/>
        <w:ind w:right="18"/>
        <w:rPr>
          <w:rFonts w:ascii="Arial" w:hAnsi="Arial" w:cs="Arial"/>
          <w:b/>
          <w:bCs/>
          <w:color w:val="800080"/>
          <w:sz w:val="32"/>
          <w:szCs w:val="32"/>
          <w:lang w:val="en-US"/>
        </w:rPr>
      </w:pPr>
    </w:p>
    <w:p w:rsidR="00096C4C" w:rsidRDefault="00096C4C">
      <w:pPr>
        <w:tabs>
          <w:tab w:val="left" w:pos="720"/>
        </w:tabs>
        <w:autoSpaceDE w:val="0"/>
        <w:ind w:left="277" w:right="18"/>
        <w:rPr>
          <w:rFonts w:ascii="Arial" w:hAnsi="Arial" w:cs="Arial"/>
          <w:b/>
          <w:bCs/>
          <w:color w:val="800080"/>
          <w:sz w:val="32"/>
          <w:szCs w:val="32"/>
          <w:lang w:val="en-US"/>
        </w:rPr>
      </w:pPr>
    </w:p>
    <w:p w:rsidR="00096C4C" w:rsidRDefault="007024D7">
      <w:pPr>
        <w:rPr>
          <w:rFonts w:ascii="Arial" w:hAnsi="Arial" w:cs="Arial"/>
          <w:b/>
          <w:bCs/>
          <w:color w:val="800080"/>
          <w:sz w:val="32"/>
          <w:szCs w:val="32"/>
          <w:lang w:val="en-US"/>
        </w:rPr>
      </w:pPr>
      <w:r>
        <w:br w:type="page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65"/>
      </w:tblGrid>
      <w:tr w:rsidR="00096C4C">
        <w:trPr>
          <w:trHeight w:val="137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PASIVA BILANČNA POSTAVKA</w:t>
            </w: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OBVEZNOSTI DO VIROV SREDSTEV</w:t>
            </w: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I. KAPITAL</w:t>
            </w: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osnovni kapital</w:t>
            </w: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plačan presežek kapitala</w:t>
            </w: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rezerve</w:t>
            </w: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preneseni dobiček ali izguba iz prejšnjih let</w:t>
            </w: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II. DOLGOROČNE REZERVACIJE</w:t>
            </w: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za velika popravila</w:t>
            </w: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III. DOLGOROČNE OBVEZNOSTI IZ FINANCIRANJA</w:t>
            </w: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dolgoročna prejeta posojila bank</w:t>
            </w: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IV. DOLGOROČNE OBVEZNOSTI IZ POSLOVANJA</w:t>
            </w: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dolgoročno prejeti krediti</w:t>
            </w: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V.KRATKOROČNE OBVEZNOSTI IZ FINANCIRANJA</w:t>
            </w: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kratkoročna dobljena posojila bank</w:t>
            </w: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VI.KRATKOROČNE OBVEZNOSTI POSLOVANJA</w:t>
            </w: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obveznosti do dobaviteljev</w:t>
            </w: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obveznosti do delavcev</w:t>
            </w: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-obveznosti do države</w:t>
            </w:r>
          </w:p>
        </w:tc>
      </w:tr>
      <w:tr w:rsidR="00096C4C">
        <w:trPr>
          <w:trHeight w:val="61"/>
        </w:trPr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prejeti predujmi</w:t>
            </w: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7024D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izdane mejnice</w:t>
            </w: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096C4C">
            <w:pPr>
              <w:snapToGrid w:val="0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096C4C">
            <w:pPr>
              <w:snapToGrid w:val="0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096C4C">
            <w:pPr>
              <w:snapToGrid w:val="0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096C4C">
            <w:pPr>
              <w:snapToGrid w:val="0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096C4C">
            <w:pPr>
              <w:snapToGrid w:val="0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096C4C">
            <w:pPr>
              <w:snapToGrid w:val="0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096C4C">
            <w:pPr>
              <w:snapToGrid w:val="0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096C4C">
            <w:pPr>
              <w:snapToGrid w:val="0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096C4C">
            <w:pPr>
              <w:snapToGrid w:val="0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096C4C">
            <w:pPr>
              <w:snapToGrid w:val="0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096C4C">
            <w:pPr>
              <w:snapToGrid w:val="0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096C4C">
            <w:pPr>
              <w:snapToGrid w:val="0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096C4C">
            <w:pPr>
              <w:snapToGrid w:val="0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096C4C">
            <w:pPr>
              <w:snapToGrid w:val="0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096C4C">
            <w:pPr>
              <w:snapToGrid w:val="0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096C4C">
            <w:pPr>
              <w:snapToGrid w:val="0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096C4C">
            <w:pPr>
              <w:snapToGrid w:val="0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96C4C">
        <w:tc>
          <w:tcPr>
            <w:tcW w:w="9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4C" w:rsidRDefault="00096C4C">
            <w:pPr>
              <w:snapToGrid w:val="0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</w:tbl>
    <w:p w:rsidR="00096C4C" w:rsidRDefault="00096C4C">
      <w:pPr>
        <w:rPr>
          <w:rFonts w:ascii="Comic Sans MS" w:hAnsi="Comic Sans MS"/>
          <w:sz w:val="16"/>
          <w:szCs w:val="16"/>
        </w:rPr>
      </w:pPr>
    </w:p>
    <w:sectPr w:rsidR="00096C4C">
      <w:footnotePr>
        <w:pos w:val="beneathText"/>
      </w:footnotePr>
      <w:pgSz w:w="11905" w:h="16837"/>
      <w:pgMar w:top="1200" w:right="1418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4D7"/>
    <w:rsid w:val="00096C4C"/>
    <w:rsid w:val="00302857"/>
    <w:rsid w:val="0070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2019-04-23T08:42:00Z</dcterms:created>
  <dcterms:modified xsi:type="dcterms:W3CDTF">2019-04-23T08:42:00Z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