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53" w:rsidRDefault="0045329A">
      <w:pPr>
        <w:rPr>
          <w:rFonts w:ascii="Arial" w:hAnsi="Arial"/>
          <w:color w:val="003366"/>
          <w:sz w:val="16"/>
          <w:szCs w:val="16"/>
        </w:rPr>
      </w:pPr>
      <w:bookmarkStart w:id="0" w:name="_GoBack"/>
      <w:bookmarkEnd w:id="0"/>
      <w:r>
        <w:rPr>
          <w:rFonts w:ascii="Arial" w:hAnsi="Arial"/>
          <w:color w:val="003366"/>
          <w:sz w:val="16"/>
          <w:szCs w:val="16"/>
        </w:rPr>
        <w:t xml:space="preserve">TLAK – Sile lahko delimo tudi glede na prijemališče: 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sile, ki prijemljejo v točki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prostorsko porazdeljene sile (Fg)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linearno porazdeljene sile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ploskovno porazdeljene sile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position w:val="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TLAK nam pove, koliko sile pride na m</w:t>
      </w:r>
      <w:r>
        <w:rPr>
          <w:rFonts w:ascii="Arial" w:hAnsi="Arial"/>
          <w:color w:val="003366"/>
          <w:position w:val="6"/>
          <w:sz w:val="16"/>
          <w:szCs w:val="16"/>
        </w:rPr>
        <w:t>2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p = F / S (Pa)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TLAK v TEKOČINAH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Sila lahko v tekočini deluje le pravokotno na steno posode, v kateri je neka tekočina, sila, ki bi bila vzporedna ali poševno na steno ne more obstajati, tlak je v tekočini vsepovsod enak.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HIDROSTATIČNI TLAK (tlak zaradi teže tekočine)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 xml:space="preserve">p = </w:t>
      </w:r>
      <w:r>
        <w:rPr>
          <w:rFonts w:ascii="Arial" w:eastAsia="Arial" w:hAnsi="Arial" w:cs="Arial"/>
          <w:color w:val="003366"/>
          <w:sz w:val="16"/>
          <w:szCs w:val="16"/>
        </w:rPr>
        <w:t>ρ</w:t>
      </w:r>
      <w:r>
        <w:rPr>
          <w:rFonts w:ascii="Arial" w:hAnsi="Arial"/>
          <w:color w:val="003366"/>
          <w:sz w:val="16"/>
          <w:szCs w:val="16"/>
        </w:rPr>
        <w:t xml:space="preserve"> * g * h  (Pa) 1bar = 10</w:t>
      </w:r>
      <w:r>
        <w:rPr>
          <w:rFonts w:ascii="Arial" w:hAnsi="Arial"/>
          <w:color w:val="003366"/>
          <w:position w:val="6"/>
          <w:sz w:val="16"/>
          <w:szCs w:val="16"/>
        </w:rPr>
        <w:t>5</w:t>
      </w:r>
      <w:r>
        <w:rPr>
          <w:rFonts w:ascii="Arial" w:hAnsi="Arial"/>
          <w:color w:val="003366"/>
          <w:sz w:val="16"/>
          <w:szCs w:val="16"/>
        </w:rPr>
        <w:t>Pa, 1milibar = 100Pa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VZGON je rezultanta sil okolne tekočine na potopljeno telo. Potopljena telesa so na videz lažja.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Sila vzgona je enaka izpodrinjeni tekočini.</w:t>
      </w:r>
    </w:p>
    <w:p w:rsidR="00100353" w:rsidRDefault="0045329A">
      <w:pPr>
        <w:autoSpaceDE w:val="0"/>
        <w:ind w:left="794" w:hanging="567"/>
        <w:rPr>
          <w:rFonts w:ascii="Arial" w:hAnsi="Arial"/>
          <w:color w:val="003366"/>
          <w:sz w:val="16"/>
          <w:szCs w:val="16"/>
        </w:rPr>
      </w:pPr>
      <w:r>
        <w:rPr>
          <w:rFonts w:ascii="Arial" w:hAnsi="Arial"/>
          <w:color w:val="003366"/>
          <w:sz w:val="16"/>
          <w:szCs w:val="16"/>
        </w:rPr>
        <w:t>Fv = m * g (m=masa izpodrinjene tekočine, g=teža izpodrinjene tekočine)</w:t>
      </w:r>
    </w:p>
    <w:p w:rsidR="00100353" w:rsidRDefault="00100353">
      <w:pPr>
        <w:rPr>
          <w:rFonts w:ascii="Arial" w:hAnsi="Arial"/>
          <w:sz w:val="16"/>
          <w:szCs w:val="16"/>
        </w:rPr>
      </w:pPr>
    </w:p>
    <w:p w:rsidR="00100353" w:rsidRDefault="00100353">
      <w:pPr>
        <w:rPr>
          <w:rFonts w:ascii="Arial" w:hAnsi="Arial"/>
          <w:sz w:val="16"/>
          <w:szCs w:val="16"/>
        </w:rPr>
      </w:pPr>
    </w:p>
    <w:sectPr w:rsidR="0010035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29A"/>
    <w:rsid w:val="00100353"/>
    <w:rsid w:val="0045329A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