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FE9F9" w14:textId="77777777" w:rsidR="00CC3BFD" w:rsidRDefault="00CC3BFD" w:rsidP="00CC3BFD">
      <w:pPr>
        <w:rPr>
          <w:b/>
          <w:sz w:val="44"/>
          <w:szCs w:val="44"/>
        </w:rPr>
      </w:pPr>
      <w:bookmarkStart w:id="0" w:name="_GoBack"/>
      <w:bookmarkEnd w:id="0"/>
    </w:p>
    <w:p w14:paraId="378FAC3B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1DCF24CF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2EC3EDB8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2D83817D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290B637D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34F48C66" w14:textId="77777777" w:rsidR="00CC3BFD" w:rsidRPr="00AE5068" w:rsidRDefault="00CC3BFD" w:rsidP="00CC3BFD">
      <w:pPr>
        <w:rPr>
          <w:b/>
          <w:color w:val="FF6600"/>
          <w:sz w:val="44"/>
          <w:szCs w:val="44"/>
        </w:rPr>
      </w:pPr>
    </w:p>
    <w:p w14:paraId="24BB04AA" w14:textId="77777777" w:rsidR="00CC3BFD" w:rsidRPr="00AE5068" w:rsidRDefault="00CC3BFD" w:rsidP="00CC3BFD">
      <w:pPr>
        <w:jc w:val="center"/>
        <w:rPr>
          <w:b/>
          <w:color w:val="FF6600"/>
          <w:sz w:val="44"/>
          <w:szCs w:val="44"/>
        </w:rPr>
      </w:pPr>
      <w:r w:rsidRPr="00AE5068">
        <w:rPr>
          <w:b/>
          <w:color w:val="FF6600"/>
          <w:sz w:val="44"/>
          <w:szCs w:val="44"/>
        </w:rPr>
        <w:t>POROČILO</w:t>
      </w:r>
    </w:p>
    <w:p w14:paraId="35AEBEE8" w14:textId="77777777" w:rsidR="00CC3BFD" w:rsidRPr="00AE5068" w:rsidRDefault="00CC3BFD" w:rsidP="00CC3BFD">
      <w:pPr>
        <w:ind w:left="360"/>
        <w:rPr>
          <w:b/>
          <w:color w:val="FF6600"/>
          <w:sz w:val="44"/>
          <w:szCs w:val="44"/>
        </w:rPr>
      </w:pPr>
    </w:p>
    <w:p w14:paraId="0BDE9942" w14:textId="77777777" w:rsidR="00CC3BFD" w:rsidRPr="00AE5068" w:rsidRDefault="00CC3BFD" w:rsidP="00CC3BFD">
      <w:pPr>
        <w:ind w:left="360"/>
        <w:jc w:val="center"/>
        <w:rPr>
          <w:b/>
          <w:color w:val="FF6600"/>
          <w:sz w:val="44"/>
          <w:szCs w:val="44"/>
        </w:rPr>
      </w:pPr>
      <w:r w:rsidRPr="00AE5068">
        <w:rPr>
          <w:b/>
          <w:color w:val="FF6600"/>
          <w:sz w:val="44"/>
          <w:szCs w:val="44"/>
        </w:rPr>
        <w:t>6.VAJA</w:t>
      </w:r>
    </w:p>
    <w:p w14:paraId="75AA3DAF" w14:textId="77777777" w:rsidR="00CC3BFD" w:rsidRPr="00AE5068" w:rsidRDefault="00CC3BFD" w:rsidP="00CC3BFD">
      <w:pPr>
        <w:ind w:left="360"/>
        <w:jc w:val="center"/>
        <w:rPr>
          <w:b/>
          <w:color w:val="FF6600"/>
          <w:sz w:val="44"/>
          <w:szCs w:val="44"/>
        </w:rPr>
      </w:pPr>
    </w:p>
    <w:p w14:paraId="1F0D5212" w14:textId="77777777" w:rsidR="00CC3BFD" w:rsidRPr="00AE5068" w:rsidRDefault="00CC3BFD" w:rsidP="00CC3BFD">
      <w:pPr>
        <w:jc w:val="center"/>
        <w:rPr>
          <w:b/>
          <w:color w:val="FF6600"/>
          <w:sz w:val="44"/>
          <w:szCs w:val="44"/>
        </w:rPr>
      </w:pPr>
      <w:r w:rsidRPr="00AE5068">
        <w:rPr>
          <w:b/>
          <w:color w:val="FF6600"/>
          <w:sz w:val="44"/>
          <w:szCs w:val="44"/>
        </w:rPr>
        <w:t>KROŽEČE NIHALO</w:t>
      </w:r>
    </w:p>
    <w:p w14:paraId="5D123ACE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1F66C881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4526C445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7B4468E0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0A78431A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42B2FB4F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675FEEBF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6657088D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33EFEA08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15F20276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00551C46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5C2A4DC5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5DF65C14" w14:textId="77777777" w:rsidR="00CC3BFD" w:rsidRDefault="00CC3BFD" w:rsidP="00CC3BFD">
      <w:pPr>
        <w:jc w:val="center"/>
        <w:rPr>
          <w:b/>
          <w:sz w:val="44"/>
          <w:szCs w:val="44"/>
        </w:rPr>
      </w:pPr>
    </w:p>
    <w:p w14:paraId="6B2F7FDD" w14:textId="77777777" w:rsidR="00841E50" w:rsidRDefault="00841E50" w:rsidP="00CC3BFD">
      <w:pPr>
        <w:rPr>
          <w:b/>
          <w:color w:val="00FF00"/>
        </w:rPr>
      </w:pPr>
      <w:r>
        <w:rPr>
          <w:b/>
          <w:color w:val="00FF00"/>
        </w:rPr>
        <w:t xml:space="preserve"> </w:t>
      </w:r>
    </w:p>
    <w:p w14:paraId="4A31CEE3" w14:textId="77777777" w:rsidR="00841E50" w:rsidRDefault="00841E50" w:rsidP="00CC3BFD">
      <w:pPr>
        <w:rPr>
          <w:b/>
          <w:color w:val="00FF00"/>
        </w:rPr>
      </w:pPr>
    </w:p>
    <w:p w14:paraId="26699B59" w14:textId="77777777" w:rsidR="00841E50" w:rsidRDefault="00841E50" w:rsidP="00CC3BFD">
      <w:pPr>
        <w:rPr>
          <w:b/>
          <w:color w:val="00FF00"/>
        </w:rPr>
      </w:pPr>
    </w:p>
    <w:p w14:paraId="3309B39E" w14:textId="73DAA7F0" w:rsidR="00CC3BFD" w:rsidRDefault="00CC3BFD" w:rsidP="00CC3BFD">
      <w:pPr>
        <w:rPr>
          <w:b/>
        </w:rPr>
      </w:pPr>
      <w:r>
        <w:t xml:space="preserve"> </w:t>
      </w:r>
    </w:p>
    <w:p w14:paraId="163C828D" w14:textId="77777777" w:rsidR="00CC3BFD" w:rsidRPr="00AE5068" w:rsidRDefault="00CC3BFD" w:rsidP="00CC3BFD">
      <w:pPr>
        <w:rPr>
          <w:b/>
          <w:color w:val="FF6600"/>
          <w:u w:val="single"/>
        </w:rPr>
      </w:pPr>
      <w:r w:rsidRPr="00AE5068">
        <w:rPr>
          <w:b/>
          <w:color w:val="FF6600"/>
          <w:u w:val="single"/>
        </w:rPr>
        <w:lastRenderedPageBreak/>
        <w:t>Namen:</w:t>
      </w:r>
    </w:p>
    <w:p w14:paraId="2A692002" w14:textId="77777777" w:rsidR="00CC3BFD" w:rsidRDefault="00CC3BFD"/>
    <w:p w14:paraId="1DFDBCD4" w14:textId="77777777" w:rsidR="00CC3BFD" w:rsidRDefault="00CC3BFD">
      <w:r>
        <w:t>Dokaži veljavnost Newtonovnega zakona pri kroženju tako, da izmeriš obhodni čas krožeče uteži in ga primerjaš z izračunanimi.</w:t>
      </w:r>
    </w:p>
    <w:p w14:paraId="2A41CB29" w14:textId="77777777" w:rsidR="00CC3BFD" w:rsidRDefault="00CC3BFD"/>
    <w:p w14:paraId="391BBBF0" w14:textId="77777777" w:rsidR="00CC3BFD" w:rsidRPr="00AE5068" w:rsidRDefault="00CC3BFD">
      <w:pPr>
        <w:rPr>
          <w:b/>
          <w:color w:val="FF6600"/>
          <w:u w:val="single"/>
        </w:rPr>
      </w:pPr>
      <w:r w:rsidRPr="00AE5068">
        <w:rPr>
          <w:b/>
          <w:color w:val="FF6600"/>
          <w:u w:val="single"/>
        </w:rPr>
        <w:t>Pribor:</w:t>
      </w:r>
    </w:p>
    <w:p w14:paraId="7805AA12" w14:textId="77777777" w:rsidR="00CC3BFD" w:rsidRDefault="00CC3BFD">
      <w:pPr>
        <w:rPr>
          <w:b/>
          <w:u w:val="single"/>
        </w:rPr>
      </w:pPr>
    </w:p>
    <w:p w14:paraId="0C5A641C" w14:textId="77777777" w:rsidR="00CC3BFD" w:rsidRDefault="00CC3BFD">
      <w:r>
        <w:t>-vrvica</w:t>
      </w:r>
    </w:p>
    <w:p w14:paraId="02BF4B7C" w14:textId="77777777" w:rsidR="00AE5068" w:rsidRDefault="00AE5068">
      <w:r>
        <w:t>-ogrodje za pritrditev krožeče uteži</w:t>
      </w:r>
    </w:p>
    <w:p w14:paraId="7FBF8832" w14:textId="77777777" w:rsidR="00AE5068" w:rsidRDefault="00AE5068">
      <w:r>
        <w:t>-kovinska kroglica</w:t>
      </w:r>
    </w:p>
    <w:p w14:paraId="71D8D030" w14:textId="77777777" w:rsidR="00AE5068" w:rsidRDefault="00AE5068">
      <w:r>
        <w:t>-štoparica</w:t>
      </w:r>
    </w:p>
    <w:p w14:paraId="25B7B31B" w14:textId="77777777" w:rsidR="00AE5068" w:rsidRPr="00572104" w:rsidRDefault="00AE5068">
      <w:pPr>
        <w:rPr>
          <w:b/>
          <w:color w:val="FF6600"/>
          <w:u w:val="single"/>
        </w:rPr>
      </w:pPr>
    </w:p>
    <w:p w14:paraId="135EDB6B" w14:textId="77777777" w:rsidR="00572104" w:rsidRDefault="00572104">
      <w:pPr>
        <w:rPr>
          <w:b/>
          <w:color w:val="FF6600"/>
          <w:u w:val="single"/>
        </w:rPr>
      </w:pPr>
      <w:r w:rsidRPr="00572104">
        <w:rPr>
          <w:b/>
          <w:color w:val="FF6600"/>
          <w:u w:val="single"/>
        </w:rPr>
        <w:t>Opis poskusa:</w:t>
      </w:r>
    </w:p>
    <w:p w14:paraId="39144BB9" w14:textId="77777777" w:rsidR="00572104" w:rsidRDefault="00572104">
      <w:pPr>
        <w:rPr>
          <w:b/>
          <w:color w:val="FF6600"/>
          <w:u w:val="single"/>
        </w:rPr>
      </w:pPr>
    </w:p>
    <w:p w14:paraId="5AA9C65B" w14:textId="77777777" w:rsidR="00AE5068" w:rsidRDefault="0094555F">
      <w:r>
        <w:t>Na vrvico smo obesili visečo kroglico in izmerili njuno dolžino.</w:t>
      </w:r>
      <w:r w:rsidR="00224CE6">
        <w:t xml:space="preserve"> </w:t>
      </w:r>
      <w:r w:rsidR="00572104">
        <w:t>Prosto viseči kovinski  kroglici smo podeli</w:t>
      </w:r>
      <w:r>
        <w:t>li začetno hitrost pravokotno na krožnico kroženja</w:t>
      </w:r>
      <w:r w:rsidR="00E625E6">
        <w:t>. Medtem ko je kroglica krožila, smo mi prešteli 20 obhodov in zabeležili</w:t>
      </w:r>
      <w:r w:rsidR="009D132C">
        <w:t xml:space="preserve"> čas obhodov</w:t>
      </w:r>
      <w:r w:rsidR="00E625E6">
        <w:t xml:space="preserve">. </w:t>
      </w:r>
      <w:r>
        <w:t xml:space="preserve"> N</w:t>
      </w:r>
      <w:r w:rsidR="00E625E6">
        <w:t>ato</w:t>
      </w:r>
      <w:r>
        <w:t xml:space="preserve"> smo</w:t>
      </w:r>
      <w:r w:rsidR="00E625E6">
        <w:t xml:space="preserve"> prepolovili dolžino vrvice </w:t>
      </w:r>
      <w:r w:rsidR="00DA54D3">
        <w:t xml:space="preserve">in s tem zmanjšali obhodni čas, ter postopek ponovili. </w:t>
      </w:r>
      <w:r w:rsidR="00896056">
        <w:t>Čas ki smo ga izračunali, smo primerjali z izmerj</w:t>
      </w:r>
      <w:r>
        <w:t>enim, ter zabeležili njuno relativno</w:t>
      </w:r>
      <w:r w:rsidR="00896056">
        <w:t xml:space="preserve"> razliko.</w:t>
      </w:r>
    </w:p>
    <w:p w14:paraId="3E2B7C35" w14:textId="77777777" w:rsidR="000E43A0" w:rsidRDefault="000E43A0"/>
    <w:p w14:paraId="2548CD5B" w14:textId="77777777" w:rsidR="000E43A0" w:rsidRDefault="000E43A0">
      <w:pPr>
        <w:rPr>
          <w:b/>
          <w:color w:val="FF6600"/>
          <w:u w:val="single"/>
        </w:rPr>
      </w:pPr>
      <w:r w:rsidRPr="000E43A0">
        <w:rPr>
          <w:b/>
          <w:color w:val="FF6600"/>
          <w:u w:val="single"/>
        </w:rPr>
        <w:t>Obdelava meritev in rezultati</w:t>
      </w:r>
      <w:r w:rsidR="00C01945">
        <w:rPr>
          <w:b/>
          <w:color w:val="FF6600"/>
          <w:u w:val="single"/>
        </w:rPr>
        <w:t>:</w:t>
      </w:r>
    </w:p>
    <w:p w14:paraId="74FAD633" w14:textId="77777777" w:rsidR="00C01945" w:rsidRDefault="00C01945" w:rsidP="006C5798"/>
    <w:p w14:paraId="55F860EE" w14:textId="77777777" w:rsidR="006C5798" w:rsidRDefault="006C5798" w:rsidP="006C5798"/>
    <w:tbl>
      <w:tblPr>
        <w:tblW w:w="4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</w:tblGrid>
      <w:tr w:rsidR="00E86BCB" w14:paraId="6EE7DBB4" w14:textId="77777777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AB74C9" w14:textId="77777777" w:rsidR="00E86BCB" w:rsidRDefault="00E86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(m)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AC1332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izmerjen čas t(s)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692647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izračunani čas t(s)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EE45B6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t.izm-t.izr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F541BE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relativna razlika</w:t>
            </w:r>
          </w:p>
        </w:tc>
      </w:tr>
      <w:tr w:rsidR="00E86BCB" w14:paraId="5F00F2A5" w14:textId="7777777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485BF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BC5E2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132C3E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9528C2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4952F8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BCB" w14:paraId="6982718F" w14:textId="77777777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699C34" w14:textId="77777777" w:rsidR="00E86BCB" w:rsidRDefault="00E86BCB" w:rsidP="00BF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9A3ED2" w14:textId="77777777" w:rsidR="00E86BCB" w:rsidRDefault="00E86BCB" w:rsidP="00BF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68E685" w14:textId="77777777" w:rsidR="00E86BCB" w:rsidRDefault="00E86BCB" w:rsidP="00BF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6022D4" w14:textId="77777777" w:rsidR="00E86BCB" w:rsidRDefault="00E86BCB" w:rsidP="00BF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A2506CB" w14:textId="77777777" w:rsidR="00E86BCB" w:rsidRDefault="00E86BCB" w:rsidP="00BF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-0,0013</w:t>
            </w:r>
          </w:p>
        </w:tc>
      </w:tr>
      <w:tr w:rsidR="00E86BCB" w14:paraId="1137EDBA" w14:textId="7777777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B76A8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3E09A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9C380E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1F4F32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2E1066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BCB" w14:paraId="500AC5B1" w14:textId="7777777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7B5CA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5C939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354414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81B232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9DF69E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BCB" w14:paraId="22B5FA41" w14:textId="7777777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EFD47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576ECD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42786D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12D226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14F2DE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E4DA8" w14:textId="77777777" w:rsidR="006C5798" w:rsidRDefault="006C5798" w:rsidP="006C5798"/>
    <w:p w14:paraId="6905E8CA" w14:textId="77777777" w:rsidR="006C5798" w:rsidRDefault="006C5798" w:rsidP="006C5798"/>
    <w:p w14:paraId="22C08785" w14:textId="77777777" w:rsidR="006C5798" w:rsidRDefault="006C5798" w:rsidP="006C5798"/>
    <w:tbl>
      <w:tblPr>
        <w:tblW w:w="4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</w:tblGrid>
      <w:tr w:rsidR="00E86BCB" w14:paraId="174E596D" w14:textId="77777777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1BAFA4" w14:textId="77777777" w:rsidR="00E86BCB" w:rsidRDefault="00E86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l(m)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2DF480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izmerjeni čas t(s)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09CF1C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izračunani čas t(s)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5B1B58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t.izm-t.izr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34E552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relativna razlika</w:t>
            </w:r>
          </w:p>
        </w:tc>
      </w:tr>
      <w:tr w:rsidR="00E86BCB" w14:paraId="201125DB" w14:textId="7777777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96DE2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895549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99B7B9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2A04C1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054411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BCB" w14:paraId="25F06DC4" w14:textId="77777777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E608C4" w14:textId="77777777" w:rsidR="00E86BCB" w:rsidRDefault="00E86BCB" w:rsidP="00BF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EB289C" w14:textId="77777777" w:rsidR="00E86BCB" w:rsidRDefault="00E86BCB" w:rsidP="00BF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81C79B" w14:textId="77777777" w:rsidR="00E86BCB" w:rsidRDefault="00E86BCB" w:rsidP="00BF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D36477" w14:textId="77777777" w:rsidR="00E86BCB" w:rsidRDefault="0094555F" w:rsidP="00BF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</w:t>
            </w:r>
            <w:r w:rsidR="00E86BCB">
              <w:rPr>
                <w:rFonts w:ascii="Arial" w:hAnsi="Arial" w:cs="Arial"/>
                <w:sz w:val="20"/>
                <w:szCs w:val="20"/>
              </w:rPr>
              <w:t>5</w:t>
            </w:r>
            <w:r w:rsidR="009C59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C21D73" w14:textId="77777777" w:rsidR="00E86BCB" w:rsidRDefault="00E86BCB" w:rsidP="00BF5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-0,055</w:t>
            </w:r>
          </w:p>
        </w:tc>
      </w:tr>
      <w:tr w:rsidR="00E86BCB" w14:paraId="386F811F" w14:textId="7777777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AFB965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80C37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A9807B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2DB1A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8C6E48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BCB" w14:paraId="726A0EDE" w14:textId="7777777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9483F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56563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DF7243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2F5260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780525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BCB" w14:paraId="53120408" w14:textId="7777777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93DDA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56C0EA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33C059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671363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F9CE0" w14:textId="77777777" w:rsidR="00E86BCB" w:rsidRDefault="00E86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18BC2" w14:textId="77777777" w:rsidR="006C5798" w:rsidRDefault="006C5798" w:rsidP="006C5798"/>
    <w:p w14:paraId="08CB7E0D" w14:textId="77777777" w:rsidR="00AB6CB8" w:rsidRDefault="00AB6CB8" w:rsidP="006C5798"/>
    <w:p w14:paraId="01AF73D8" w14:textId="77777777" w:rsidR="00AB6CB8" w:rsidRDefault="00AB6CB8" w:rsidP="006C5798"/>
    <w:p w14:paraId="42FBE502" w14:textId="77777777" w:rsidR="00AB6CB8" w:rsidRDefault="00AB6CB8" w:rsidP="00AB6CB8">
      <w:pPr>
        <w:numPr>
          <w:ilvl w:val="0"/>
          <w:numId w:val="2"/>
        </w:numPr>
      </w:pPr>
      <w:r>
        <w:t>Iz tabele vidimo dobro ujemanje izmerjenega časa z izračunanim, ka</w:t>
      </w:r>
      <w:r w:rsidR="00224CE6">
        <w:t>r potrjuje veljavnost teorije</w:t>
      </w:r>
      <w:r>
        <w:t xml:space="preserve"> 2. Newtnovega zakona</w:t>
      </w:r>
      <w:r w:rsidR="0094555F">
        <w:t>. Iz meritev vidimo, da se izmerjen obhodni čas, dobro ujema z izračunanim pri daljši vrvici !</w:t>
      </w:r>
    </w:p>
    <w:p w14:paraId="548D58C4" w14:textId="77777777" w:rsidR="00F51325" w:rsidRDefault="00F51325" w:rsidP="00F51325"/>
    <w:p w14:paraId="4D933C48" w14:textId="77777777" w:rsidR="00F51325" w:rsidRDefault="00645913" w:rsidP="00224CE6">
      <w:pPr>
        <w:numPr>
          <w:ilvl w:val="1"/>
          <w:numId w:val="2"/>
        </w:numPr>
      </w:pPr>
      <w:r>
        <w:br w:type="page"/>
      </w:r>
      <w:r w:rsidR="00224CE6">
        <w:lastRenderedPageBreak/>
        <w:t>Čas nihaja se izračuna po enačbi:</w:t>
      </w:r>
    </w:p>
    <w:p w14:paraId="247C7145" w14:textId="77777777" w:rsidR="00AB6CB8" w:rsidRDefault="00023BED" w:rsidP="00224CE6">
      <w:pPr>
        <w:jc w:val="center"/>
      </w:pPr>
      <w:r>
        <w:pict w14:anchorId="5ECBA699">
          <v:shape id="_x0000_i1030" type="#_x0000_t75" style="width:51.9pt;height:36.85pt">
            <v:imagedata r:id="rId7" o:title="t"/>
          </v:shape>
        </w:pict>
      </w:r>
    </w:p>
    <w:p w14:paraId="5512391C" w14:textId="77777777" w:rsidR="00F51325" w:rsidRDefault="00F51325" w:rsidP="00645913">
      <w:pPr>
        <w:ind w:left="720"/>
      </w:pPr>
      <w:r>
        <w:t>in je ta namenjena za izračun obhoda objekta pri majhnih kotih, se pri velikih kotih pojavi odstopanje</w:t>
      </w:r>
      <w:r w:rsidR="00645913">
        <w:t>. Tako da so meritve z daljšo vrvico natančnejše, kot s krajšo.</w:t>
      </w:r>
    </w:p>
    <w:p w14:paraId="3725C73B" w14:textId="77777777" w:rsidR="006434B5" w:rsidRDefault="006434B5" w:rsidP="00645913">
      <w:pPr>
        <w:ind w:left="720"/>
      </w:pPr>
    </w:p>
    <w:p w14:paraId="3F58F707" w14:textId="77777777" w:rsidR="006434B5" w:rsidRDefault="00023BED" w:rsidP="00645913">
      <w:pPr>
        <w:ind w:left="720"/>
      </w:pPr>
      <w:r>
        <w:pict w14:anchorId="6B1EDF1E">
          <v:group id="_x0000_s1026" editas="canvas" style="width:301.05pt;height:233.05pt;mso-position-horizontal-relative:char;mso-position-vertical-relative:line" coordorigin="2196,2616" coordsize="6883,5328">
            <o:lock v:ext="edit" aspectratio="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7" type="#_x0000_t19" style="position:absolute;left:2196;top:2616;width:6883;height:5328" stroked="f">
              <v:fill o:detectmouseclick="t"/>
              <v:path o:connecttype="none"/>
              <o:lock v:ext="edit" text="t"/>
            </v:shape>
            <v:oval id="_x0000_s1028" style="position:absolute;left:4212;top:7656;width:288;height:288" fillcolor="red" strokecolor="red"/>
            <v:oval id="_x0000_s1029" style="position:absolute;left:4788;top:4344;width:288;height:288" fillcolor="red" strokecolor="red"/>
            <v:oval id="_x0000_s1030" style="position:absolute;left:4788;top:7656;width:288;height:288" fillcolor="red" strokecolor="red"/>
            <v:oval id="_x0000_s1031" style="position:absolute;left:4212;top:4344;width:288;height:288" fillcolor="red" strokecolor="red"/>
            <v:line id="_x0000_s1032" style="position:absolute" from="4356,3048" to="4356,4344"/>
            <v:line id="_x0000_s1033" style="position:absolute" from="3348,3048" to="5796,3049" strokeweight="1.5pt"/>
            <v:line id="_x0000_s1034" style="position:absolute" from="4356,3048" to="4932,4344"/>
            <v:shape id="_x0000_s1035" type="#_x0000_t19" style="position:absolute;left:4356;top:3768;width:288;height:144;flip:y"/>
            <v:line id="_x0000_s1036" style="position:absolute" from="4356,4632" to="4356,7656"/>
            <v:line id="_x0000_s1037" style="position:absolute" from="4932,4632" to="4932,7656">
              <v:stroke dashstyle="dash"/>
            </v:line>
            <v:line id="_x0000_s1038" style="position:absolute" from="4356,4632" to="4932,7656"/>
            <v:shape id="_x0000_s1039" type="#_x0000_t19" style="position:absolute;left:4356;top:6216;width:288;height:144;flip:y"/>
            <v:shape id="_x0000_s1040" type="#_x0000_t75" style="position:absolute;left:4068;top:3048;width:288;height:288">
              <v:imagedata r:id="rId8" o:title="A"/>
            </v:shape>
            <v:shape id="_x0000_s1041" type="#_x0000_t75" style="position:absolute;left:3924;top:4344;width:288;height:288">
              <v:imagedata r:id="rId9" o:title="B"/>
            </v:shape>
            <v:shape id="_x0000_s1042" type="#_x0000_t75" style="position:absolute;left:3924;top:7656;width:288;height:288">
              <v:imagedata r:id="rId10" o:title="c"/>
            </v:shape>
            <v:shape id="_x0000_s1043" type="#_x0000_t75" style="position:absolute;left:5382;top:5046;width:2647;height:378">
              <v:imagedata r:id="rId11" o:title="as"/>
            </v:shape>
            <w10:wrap type="none"/>
            <w10:anchorlock/>
          </v:group>
        </w:pict>
      </w:r>
    </w:p>
    <w:p w14:paraId="5309A427" w14:textId="77777777" w:rsidR="00420B7C" w:rsidRDefault="00420B7C" w:rsidP="00645913">
      <w:pPr>
        <w:ind w:left="720"/>
      </w:pPr>
    </w:p>
    <w:p w14:paraId="33EB597D" w14:textId="77777777" w:rsidR="00081CB9" w:rsidRDefault="00081CB9" w:rsidP="00645913">
      <w:pPr>
        <w:ind w:left="720"/>
      </w:pPr>
    </w:p>
    <w:p w14:paraId="66D4EAC6" w14:textId="77777777" w:rsidR="00081CB9" w:rsidRDefault="00081CB9" w:rsidP="00081CB9">
      <w:pPr>
        <w:ind w:left="2520"/>
      </w:pPr>
    </w:p>
    <w:p w14:paraId="113F8A05" w14:textId="77777777" w:rsidR="00081CB9" w:rsidRDefault="00081CB9" w:rsidP="00081CB9"/>
    <w:p w14:paraId="4D9E9E5C" w14:textId="77777777" w:rsidR="00081CB9" w:rsidRPr="00081CB9" w:rsidRDefault="00081CB9" w:rsidP="00081CB9">
      <w:pPr>
        <w:numPr>
          <w:ilvl w:val="0"/>
          <w:numId w:val="8"/>
        </w:numPr>
        <w:rPr>
          <w:b/>
          <w:color w:val="0000FF"/>
        </w:rPr>
      </w:pPr>
      <w:r w:rsidRPr="00081CB9">
        <w:rPr>
          <w:b/>
          <w:color w:val="0000FF"/>
        </w:rPr>
        <w:t>Katere meritve so bolj natančne glede na dolžino vrvice ? Odgovor utemelji !</w:t>
      </w:r>
    </w:p>
    <w:p w14:paraId="592E0045" w14:textId="77777777" w:rsidR="00420B7C" w:rsidRDefault="00420B7C" w:rsidP="00645913">
      <w:pPr>
        <w:ind w:left="720"/>
      </w:pPr>
    </w:p>
    <w:p w14:paraId="54CD3088" w14:textId="77777777" w:rsidR="00420B7C" w:rsidRDefault="00420B7C" w:rsidP="00645913">
      <w:pPr>
        <w:ind w:left="720"/>
      </w:pPr>
      <w:r>
        <w:t>Glede na dolžino vrvice so natančnejše meritve z daljšo vrvico. Menim, da bistven razlog tiči v tem, da je enačba za nihajni čas nitnega nihala izpeljana s privzetkom majhnih kotov odklona nihala od navpičnice. V primeru daljše vrvice je amplituda kota manjša kot v primeru krajše, kar je razvidno tudi iz zgornje skice. Hkrati so v skladu s tem tudi moje meritve.</w:t>
      </w:r>
    </w:p>
    <w:sectPr w:rsidR="00420B7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E9DB" w14:textId="77777777" w:rsidR="000D0F7B" w:rsidRDefault="000D0F7B">
      <w:r>
        <w:separator/>
      </w:r>
    </w:p>
  </w:endnote>
  <w:endnote w:type="continuationSeparator" w:id="0">
    <w:p w14:paraId="65095542" w14:textId="77777777" w:rsidR="000D0F7B" w:rsidRDefault="000D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20D1" w14:textId="77777777" w:rsidR="000D0F7B" w:rsidRDefault="000D0F7B">
      <w:r>
        <w:separator/>
      </w:r>
    </w:p>
  </w:footnote>
  <w:footnote w:type="continuationSeparator" w:id="0">
    <w:p w14:paraId="616CB7E4" w14:textId="77777777" w:rsidR="000D0F7B" w:rsidRDefault="000D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78A1" w14:textId="3E499B13" w:rsidR="00224CE6" w:rsidRDefault="00224CE6" w:rsidP="00CC3BFD">
    <w:pPr>
      <w:pStyle w:val="Header"/>
      <w:jc w:val="center"/>
    </w:pPr>
    <w:r>
      <w:t>Krožeče nihalo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9pt;height:10.9pt" o:bullet="t">
        <v:imagedata r:id="rId1" o:title="mso90"/>
      </v:shape>
    </w:pict>
  </w:numPicBullet>
  <w:numPicBullet w:numPicBulletId="1">
    <w:pict>
      <v:shape id="_x0000_i1056" type="#_x0000_t75" style="width:11.7pt;height:12.55pt" o:bullet="t">
        <v:imagedata r:id="rId2" o:title="MCBD21302_0000[1]"/>
      </v:shape>
    </w:pict>
  </w:numPicBullet>
  <w:numPicBullet w:numPicBulletId="2">
    <w:pict>
      <v:shape id="_x0000_i1057" type="#_x0000_t75" style="width:10.9pt;height:10.9pt" o:bullet="t">
        <v:imagedata r:id="rId3" o:title="BD15018_"/>
        <o:lock v:ext="edit" cropping="t"/>
      </v:shape>
    </w:pict>
  </w:numPicBullet>
  <w:numPicBullet w:numPicBulletId="3">
    <w:pict>
      <v:shape id="_x0000_i1058" type="#_x0000_t75" style="width:10.9pt;height:10.9pt" o:bullet="t">
        <v:imagedata r:id="rId4" o:title="BD10297_"/>
      </v:shape>
    </w:pict>
  </w:numPicBullet>
  <w:numPicBullet w:numPicBulletId="4">
    <w:pict>
      <v:shape id="_x0000_i1059" type="#_x0000_t75" style="width:10.05pt;height:10.05pt" o:bullet="t">
        <v:imagedata r:id="rId5" o:title="MCBD21298_0000[1]"/>
      </v:shape>
    </w:pict>
  </w:numPicBullet>
  <w:abstractNum w:abstractNumId="0" w15:restartNumberingAfterBreak="0">
    <w:nsid w:val="069A742B"/>
    <w:multiLevelType w:val="hybridMultilevel"/>
    <w:tmpl w:val="D172B42A"/>
    <w:lvl w:ilvl="0" w:tplc="ED6C10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2941"/>
    <w:multiLevelType w:val="hybridMultilevel"/>
    <w:tmpl w:val="AB1E3F52"/>
    <w:lvl w:ilvl="0" w:tplc="20CC9DBE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C2589"/>
    <w:multiLevelType w:val="hybridMultilevel"/>
    <w:tmpl w:val="634E3E82"/>
    <w:lvl w:ilvl="0" w:tplc="C666DC8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764E5"/>
    <w:multiLevelType w:val="hybridMultilevel"/>
    <w:tmpl w:val="EADC7E8E"/>
    <w:lvl w:ilvl="0" w:tplc="C666DC84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A5377E"/>
    <w:multiLevelType w:val="hybridMultilevel"/>
    <w:tmpl w:val="2D6E53C6"/>
    <w:lvl w:ilvl="0" w:tplc="9AB8F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C6A48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6C5E"/>
    <w:multiLevelType w:val="hybridMultilevel"/>
    <w:tmpl w:val="49302DEE"/>
    <w:lvl w:ilvl="0" w:tplc="9AB8F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1C9C"/>
    <w:multiLevelType w:val="hybridMultilevel"/>
    <w:tmpl w:val="9C0E4E44"/>
    <w:lvl w:ilvl="0" w:tplc="95B02EFC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91B56B6"/>
    <w:multiLevelType w:val="hybridMultilevel"/>
    <w:tmpl w:val="9D123F38"/>
    <w:lvl w:ilvl="0" w:tplc="95B02EFC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BFD"/>
    <w:rsid w:val="00023BED"/>
    <w:rsid w:val="00081CB9"/>
    <w:rsid w:val="000D0F7B"/>
    <w:rsid w:val="000E43A0"/>
    <w:rsid w:val="00224CE6"/>
    <w:rsid w:val="00257BC2"/>
    <w:rsid w:val="002F33BA"/>
    <w:rsid w:val="00420B7C"/>
    <w:rsid w:val="00494D59"/>
    <w:rsid w:val="00572104"/>
    <w:rsid w:val="006434B5"/>
    <w:rsid w:val="00645913"/>
    <w:rsid w:val="006534A8"/>
    <w:rsid w:val="0069193A"/>
    <w:rsid w:val="006A79F1"/>
    <w:rsid w:val="006B3984"/>
    <w:rsid w:val="006C5798"/>
    <w:rsid w:val="00841E50"/>
    <w:rsid w:val="008450CA"/>
    <w:rsid w:val="00896056"/>
    <w:rsid w:val="0094555F"/>
    <w:rsid w:val="00962707"/>
    <w:rsid w:val="009C59F5"/>
    <w:rsid w:val="009D132C"/>
    <w:rsid w:val="009F5403"/>
    <w:rsid w:val="00AB6CB8"/>
    <w:rsid w:val="00AE5068"/>
    <w:rsid w:val="00B23A34"/>
    <w:rsid w:val="00BF5347"/>
    <w:rsid w:val="00BF6F6E"/>
    <w:rsid w:val="00C01945"/>
    <w:rsid w:val="00C8430F"/>
    <w:rsid w:val="00CC3BFD"/>
    <w:rsid w:val="00CC604C"/>
    <w:rsid w:val="00D424C8"/>
    <w:rsid w:val="00DA54D3"/>
    <w:rsid w:val="00E625E6"/>
    <w:rsid w:val="00E72B04"/>
    <w:rsid w:val="00E86BCB"/>
    <w:rsid w:val="00F51325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1" type="arc" idref="#_x0000_s1027"/>
        <o:r id="V:Rule2" type="arc" idref="#_x0000_s1035"/>
        <o:r id="V:Rule3" type="arc" idref="#_x0000_s1039"/>
      </o:rules>
    </o:shapelayout>
  </w:shapeDefaults>
  <w:decimalSymbol w:val=","/>
  <w:listSeparator w:val=";"/>
  <w14:docId w14:val="644101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3B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C3BF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wmf"/><Relationship Id="rId5" Type="http://schemas.openxmlformats.org/officeDocument/2006/relationships/footnotes" Target="footnotes.xml"/><Relationship Id="rId10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8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2019-04-23T08:48:00Z</dcterms:created>
  <dcterms:modified xsi:type="dcterms:W3CDTF">2019-04-23T08:48:00Z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