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2C" w:rsidRDefault="00936BBB">
      <w:pPr>
        <w:jc w:val="center"/>
        <w:rPr>
          <w:rFonts w:ascii="Times New Roman" w:hAnsi="Times New Roman"/>
          <w:b/>
          <w:sz w:val="28"/>
          <w:lang w:val="sl-SI"/>
        </w:rPr>
      </w:pPr>
      <w:bookmarkStart w:id="0" w:name="_GoBack"/>
      <w:bookmarkEnd w:id="0"/>
      <w:r>
        <w:rPr>
          <w:rFonts w:ascii="Times New Roman" w:hAnsi="Times New Roman"/>
          <w:b/>
          <w:sz w:val="28"/>
          <w:lang w:val="sl-SI"/>
        </w:rPr>
        <w:t>MERJENJE OBHODNEGA ČASA PRI KROŽENJU</w:t>
      </w:r>
    </w:p>
    <w:p w:rsidR="00E2472C" w:rsidRDefault="00E2472C">
      <w:pPr>
        <w:rPr>
          <w:rFonts w:ascii="Times New Roman" w:hAnsi="Times New Roman"/>
          <w:lang w:val="sl-SI"/>
        </w:rPr>
      </w:pPr>
    </w:p>
    <w:p w:rsidR="00E2472C" w:rsidRDefault="00936BBB">
      <w:pPr>
        <w:rPr>
          <w:rFonts w:ascii="Times New Roman" w:hAnsi="Times New Roman"/>
          <w:i/>
          <w:lang w:val="sl-SI"/>
        </w:rPr>
      </w:pPr>
      <w:r>
        <w:rPr>
          <w:rFonts w:ascii="Times New Roman" w:hAnsi="Times New Roman"/>
          <w:i/>
          <w:lang w:val="sl-SI"/>
        </w:rPr>
        <w:t>Meritve obhodnega časa</w:t>
      </w:r>
    </w:p>
    <w:p w:rsidR="00E2472C" w:rsidRDefault="00E2472C">
      <w:pPr>
        <w:rPr>
          <w:rFonts w:ascii="Times New Roman" w:hAnsi="Times New Roman"/>
          <w:lang w:val="sl-SI"/>
        </w:rPr>
      </w:pP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1039"/>
        <w:gridCol w:w="1040"/>
        <w:gridCol w:w="1039"/>
        <w:gridCol w:w="1040"/>
        <w:gridCol w:w="1039"/>
        <w:gridCol w:w="1040"/>
      </w:tblGrid>
      <w:tr w:rsidR="00E2472C">
        <w:trPr>
          <w:cantSplit/>
        </w:trPr>
        <w:tc>
          <w:tcPr>
            <w:tcW w:w="1843" w:type="dxa"/>
            <w:vAlign w:val="center"/>
          </w:tcPr>
          <w:p w:rsidR="00E2472C" w:rsidRDefault="00936BBB">
            <w:pPr>
              <w:rPr>
                <w:rFonts w:ascii="Times New Roman" w:hAnsi="Times New Roman"/>
                <w:sz w:val="16"/>
                <w:lang w:val="sl-SI"/>
              </w:rPr>
            </w:pPr>
            <w:r>
              <w:rPr>
                <w:rFonts w:ascii="Times New Roman" w:hAnsi="Times New Roman"/>
                <w:sz w:val="20"/>
                <w:lang w:val="sl-SI"/>
              </w:rPr>
              <w:t>5 obhodov -</w:t>
            </w:r>
            <w:r>
              <w:rPr>
                <w:rFonts w:ascii="Times New Roman" w:hAnsi="Times New Roman"/>
                <w:sz w:val="16"/>
                <w:lang w:val="sl-SI"/>
              </w:rPr>
              <w:t xml:space="preserve"> </w:t>
            </w:r>
            <w:r>
              <w:rPr>
                <w:rFonts w:ascii="Times New Roman" w:hAnsi="Times New Roman"/>
                <w:position w:val="-12"/>
                <w:sz w:val="16"/>
                <w:lang w:val="sl-SI"/>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8.4pt" o:ole="" fillcolor="window">
                  <v:imagedata r:id="rId5" o:title=""/>
                </v:shape>
                <o:OLEObject Type="Embed" ProgID="Equation.3" ShapeID="_x0000_i1025" DrawAspect="Content" ObjectID="_1617524067" r:id="rId6"/>
              </w:object>
            </w:r>
          </w:p>
        </w:tc>
        <w:tc>
          <w:tcPr>
            <w:tcW w:w="1039" w:type="dxa"/>
            <w:vAlign w:val="center"/>
          </w:tcPr>
          <w:p w:rsidR="00E2472C" w:rsidRDefault="00936BBB">
            <w:pPr>
              <w:jc w:val="center"/>
              <w:rPr>
                <w:rFonts w:ascii="Times New Roman" w:hAnsi="Times New Roman"/>
                <w:lang w:val="sl-SI"/>
              </w:rPr>
            </w:pPr>
            <w:r>
              <w:rPr>
                <w:rFonts w:ascii="Times New Roman" w:hAnsi="Times New Roman"/>
                <w:lang w:val="sl-SI"/>
              </w:rPr>
              <w:t>6,7</w:t>
            </w:r>
          </w:p>
        </w:tc>
        <w:tc>
          <w:tcPr>
            <w:tcW w:w="1040" w:type="dxa"/>
            <w:vAlign w:val="center"/>
          </w:tcPr>
          <w:p w:rsidR="00E2472C" w:rsidRDefault="00936BBB">
            <w:pPr>
              <w:jc w:val="center"/>
              <w:rPr>
                <w:rFonts w:ascii="Times New Roman" w:hAnsi="Times New Roman"/>
                <w:lang w:val="sl-SI"/>
              </w:rPr>
            </w:pPr>
            <w:r>
              <w:rPr>
                <w:rFonts w:ascii="Times New Roman" w:hAnsi="Times New Roman"/>
                <w:lang w:val="sl-SI"/>
              </w:rPr>
              <w:t>6,2</w:t>
            </w:r>
          </w:p>
        </w:tc>
        <w:tc>
          <w:tcPr>
            <w:tcW w:w="1039" w:type="dxa"/>
            <w:vAlign w:val="center"/>
          </w:tcPr>
          <w:p w:rsidR="00E2472C" w:rsidRDefault="00936BBB">
            <w:pPr>
              <w:jc w:val="center"/>
              <w:rPr>
                <w:rFonts w:ascii="Times New Roman" w:hAnsi="Times New Roman"/>
                <w:lang w:val="sl-SI"/>
              </w:rPr>
            </w:pPr>
            <w:r>
              <w:rPr>
                <w:rFonts w:ascii="Times New Roman" w:hAnsi="Times New Roman"/>
                <w:lang w:val="sl-SI"/>
              </w:rPr>
              <w:t>7,0</w:t>
            </w:r>
          </w:p>
        </w:tc>
        <w:tc>
          <w:tcPr>
            <w:tcW w:w="1040" w:type="dxa"/>
            <w:vAlign w:val="center"/>
          </w:tcPr>
          <w:p w:rsidR="00E2472C" w:rsidRDefault="00936BBB">
            <w:pPr>
              <w:jc w:val="center"/>
              <w:rPr>
                <w:rFonts w:ascii="Times New Roman" w:hAnsi="Times New Roman"/>
                <w:strike/>
                <w:lang w:val="sl-SI"/>
              </w:rPr>
            </w:pPr>
            <w:r>
              <w:rPr>
                <w:rFonts w:ascii="Times New Roman" w:hAnsi="Times New Roman"/>
                <w:lang w:val="sl-SI"/>
              </w:rPr>
              <w:t>6,2</w:t>
            </w:r>
          </w:p>
        </w:tc>
        <w:tc>
          <w:tcPr>
            <w:tcW w:w="1039" w:type="dxa"/>
            <w:vAlign w:val="center"/>
          </w:tcPr>
          <w:p w:rsidR="00E2472C" w:rsidRDefault="00936BBB">
            <w:pPr>
              <w:jc w:val="center"/>
              <w:rPr>
                <w:rFonts w:ascii="Times New Roman" w:hAnsi="Times New Roman"/>
                <w:lang w:val="sl-SI"/>
              </w:rPr>
            </w:pPr>
            <w:r>
              <w:rPr>
                <w:rFonts w:ascii="Times New Roman" w:hAnsi="Times New Roman"/>
                <w:lang w:val="sl-SI"/>
              </w:rPr>
              <w:t>5,9</w:t>
            </w:r>
          </w:p>
        </w:tc>
        <w:tc>
          <w:tcPr>
            <w:tcW w:w="1040" w:type="dxa"/>
            <w:vAlign w:val="center"/>
          </w:tcPr>
          <w:p w:rsidR="00E2472C" w:rsidRDefault="00936BBB">
            <w:pPr>
              <w:jc w:val="center"/>
              <w:rPr>
                <w:rFonts w:ascii="Times New Roman" w:hAnsi="Times New Roman"/>
                <w:lang w:val="sl-SI"/>
              </w:rPr>
            </w:pPr>
            <w:r>
              <w:rPr>
                <w:rFonts w:ascii="Times New Roman" w:hAnsi="Times New Roman"/>
                <w:lang w:val="sl-SI"/>
              </w:rPr>
              <w:t>6,5</w:t>
            </w:r>
          </w:p>
        </w:tc>
      </w:tr>
      <w:tr w:rsidR="00E2472C">
        <w:trPr>
          <w:cantSplit/>
        </w:trPr>
        <w:tc>
          <w:tcPr>
            <w:tcW w:w="1843" w:type="dxa"/>
            <w:vAlign w:val="center"/>
          </w:tcPr>
          <w:p w:rsidR="00E2472C" w:rsidRDefault="00936BBB">
            <w:pPr>
              <w:rPr>
                <w:rFonts w:ascii="Times New Roman" w:hAnsi="Times New Roman"/>
                <w:lang w:val="sl-SI"/>
              </w:rPr>
            </w:pPr>
            <w:r>
              <w:rPr>
                <w:rFonts w:ascii="Times New Roman" w:hAnsi="Times New Roman"/>
                <w:sz w:val="20"/>
                <w:lang w:val="sl-SI"/>
              </w:rPr>
              <w:t>1 obhod -</w:t>
            </w:r>
            <w:r>
              <w:rPr>
                <w:rFonts w:ascii="Times New Roman" w:hAnsi="Times New Roman"/>
                <w:lang w:val="sl-SI"/>
              </w:rPr>
              <w:t xml:space="preserve"> </w:t>
            </w:r>
            <w:r>
              <w:rPr>
                <w:rFonts w:ascii="Times New Roman" w:hAnsi="Times New Roman"/>
                <w:position w:val="-12"/>
                <w:lang w:val="sl-SI"/>
              </w:rPr>
              <w:object w:dxaOrig="460" w:dyaOrig="360">
                <v:shape id="_x0000_i1026" type="#_x0000_t75" style="width:23.45pt;height:18.4pt" o:ole="" fillcolor="window">
                  <v:imagedata r:id="rId7" o:title=""/>
                </v:shape>
                <o:OLEObject Type="Embed" ProgID="Equation.3" ShapeID="_x0000_i1026" DrawAspect="Content" ObjectID="_1617524068" r:id="rId8"/>
              </w:object>
            </w:r>
          </w:p>
        </w:tc>
        <w:tc>
          <w:tcPr>
            <w:tcW w:w="1039" w:type="dxa"/>
            <w:vAlign w:val="center"/>
          </w:tcPr>
          <w:p w:rsidR="00E2472C" w:rsidRDefault="00936BBB">
            <w:pPr>
              <w:jc w:val="center"/>
              <w:rPr>
                <w:rFonts w:ascii="Times New Roman" w:hAnsi="Times New Roman"/>
                <w:lang w:val="sl-SI"/>
              </w:rPr>
            </w:pPr>
            <w:r>
              <w:rPr>
                <w:rFonts w:ascii="Times New Roman" w:hAnsi="Times New Roman"/>
                <w:lang w:val="sl-SI"/>
              </w:rPr>
              <w:t>1,3</w:t>
            </w:r>
          </w:p>
        </w:tc>
        <w:tc>
          <w:tcPr>
            <w:tcW w:w="1040" w:type="dxa"/>
            <w:vAlign w:val="center"/>
          </w:tcPr>
          <w:p w:rsidR="00E2472C" w:rsidRDefault="00936BBB">
            <w:pPr>
              <w:jc w:val="center"/>
              <w:rPr>
                <w:rFonts w:ascii="Times New Roman" w:hAnsi="Times New Roman"/>
                <w:strike/>
                <w:lang w:val="sl-SI"/>
              </w:rPr>
            </w:pPr>
            <w:r>
              <w:rPr>
                <w:rFonts w:ascii="Times New Roman" w:hAnsi="Times New Roman"/>
                <w:strike/>
                <w:lang w:val="sl-SI"/>
              </w:rPr>
              <w:t>1,2</w:t>
            </w:r>
          </w:p>
        </w:tc>
        <w:tc>
          <w:tcPr>
            <w:tcW w:w="1039" w:type="dxa"/>
            <w:vAlign w:val="center"/>
          </w:tcPr>
          <w:p w:rsidR="00E2472C" w:rsidRDefault="00936BBB">
            <w:pPr>
              <w:jc w:val="center"/>
              <w:rPr>
                <w:rFonts w:ascii="Times New Roman" w:hAnsi="Times New Roman"/>
                <w:lang w:val="sl-SI"/>
              </w:rPr>
            </w:pPr>
            <w:r>
              <w:rPr>
                <w:rFonts w:ascii="Times New Roman" w:hAnsi="Times New Roman"/>
                <w:strike/>
                <w:lang w:val="sl-SI"/>
              </w:rPr>
              <w:t>1,4</w:t>
            </w:r>
          </w:p>
        </w:tc>
        <w:tc>
          <w:tcPr>
            <w:tcW w:w="1040" w:type="dxa"/>
            <w:vAlign w:val="center"/>
          </w:tcPr>
          <w:p w:rsidR="00E2472C" w:rsidRDefault="00936BBB">
            <w:pPr>
              <w:jc w:val="center"/>
              <w:rPr>
                <w:rFonts w:ascii="Times New Roman" w:hAnsi="Times New Roman"/>
                <w:lang w:val="sl-SI"/>
              </w:rPr>
            </w:pPr>
            <w:r>
              <w:rPr>
                <w:rFonts w:ascii="Times New Roman" w:hAnsi="Times New Roman"/>
                <w:lang w:val="sl-SI"/>
              </w:rPr>
              <w:t>1,2</w:t>
            </w:r>
          </w:p>
        </w:tc>
        <w:tc>
          <w:tcPr>
            <w:tcW w:w="1039" w:type="dxa"/>
            <w:vAlign w:val="center"/>
          </w:tcPr>
          <w:p w:rsidR="00E2472C" w:rsidRDefault="00936BBB">
            <w:pPr>
              <w:jc w:val="center"/>
              <w:rPr>
                <w:rFonts w:ascii="Times New Roman" w:hAnsi="Times New Roman"/>
                <w:lang w:val="sl-SI"/>
              </w:rPr>
            </w:pPr>
            <w:r>
              <w:rPr>
                <w:rFonts w:ascii="Times New Roman" w:hAnsi="Times New Roman"/>
                <w:lang w:val="sl-SI"/>
              </w:rPr>
              <w:t>1,2</w:t>
            </w:r>
          </w:p>
        </w:tc>
        <w:tc>
          <w:tcPr>
            <w:tcW w:w="1040" w:type="dxa"/>
            <w:vAlign w:val="center"/>
          </w:tcPr>
          <w:p w:rsidR="00E2472C" w:rsidRDefault="00936BBB">
            <w:pPr>
              <w:jc w:val="center"/>
              <w:rPr>
                <w:rFonts w:ascii="Times New Roman" w:hAnsi="Times New Roman"/>
                <w:lang w:val="sl-SI"/>
              </w:rPr>
            </w:pPr>
            <w:r>
              <w:rPr>
                <w:rFonts w:ascii="Times New Roman" w:hAnsi="Times New Roman"/>
                <w:lang w:val="sl-SI"/>
              </w:rPr>
              <w:t>1,3</w:t>
            </w:r>
          </w:p>
        </w:tc>
      </w:tr>
      <w:tr w:rsidR="00E2472C">
        <w:trPr>
          <w:cantSplit/>
        </w:trPr>
        <w:tc>
          <w:tcPr>
            <w:tcW w:w="1843" w:type="dxa"/>
            <w:vAlign w:val="center"/>
          </w:tcPr>
          <w:p w:rsidR="00E2472C" w:rsidRDefault="00936BBB">
            <w:pPr>
              <w:rPr>
                <w:rFonts w:ascii="Times New Roman" w:hAnsi="Times New Roman"/>
                <w:lang w:val="sl-SI"/>
              </w:rPr>
            </w:pPr>
            <w:r>
              <w:rPr>
                <w:rFonts w:ascii="Times New Roman" w:hAnsi="Times New Roman"/>
                <w:position w:val="-12"/>
                <w:lang w:val="sl-SI"/>
              </w:rPr>
              <w:object w:dxaOrig="460" w:dyaOrig="360">
                <v:shape id="_x0000_i1027" type="#_x0000_t75" style="width:23.45pt;height:18.4pt" o:ole="" fillcolor="window">
                  <v:imagedata r:id="rId9" o:title=""/>
                </v:shape>
                <o:OLEObject Type="Embed" ProgID="Equation.3" ShapeID="_x0000_i1027" DrawAspect="Content" ObjectID="_1617524069" r:id="rId10"/>
              </w:object>
            </w:r>
          </w:p>
        </w:tc>
        <w:tc>
          <w:tcPr>
            <w:tcW w:w="6237" w:type="dxa"/>
            <w:gridSpan w:val="6"/>
            <w:vAlign w:val="center"/>
          </w:tcPr>
          <w:p w:rsidR="00E2472C" w:rsidRDefault="00936BBB">
            <w:pPr>
              <w:jc w:val="center"/>
              <w:rPr>
                <w:rFonts w:ascii="Times New Roman" w:hAnsi="Times New Roman"/>
                <w:lang w:val="sl-SI"/>
              </w:rPr>
            </w:pPr>
            <w:r>
              <w:rPr>
                <w:rFonts w:ascii="Times New Roman" w:hAnsi="Times New Roman"/>
                <w:lang w:val="sl-SI"/>
              </w:rPr>
              <w:t>1,3</w:t>
            </w:r>
          </w:p>
        </w:tc>
      </w:tr>
    </w:tbl>
    <w:p w:rsidR="00E2472C" w:rsidRDefault="00E2472C">
      <w:pPr>
        <w:rPr>
          <w:rFonts w:ascii="Times New Roman" w:hAnsi="Times New Roman"/>
          <w:lang w:val="sl-SI"/>
        </w:rPr>
      </w:pPr>
    </w:p>
    <w:p w:rsidR="00E2472C" w:rsidRDefault="00936BBB">
      <w:pPr>
        <w:rPr>
          <w:rFonts w:ascii="Times New Roman" w:hAnsi="Times New Roman"/>
          <w:i/>
          <w:lang w:val="sl-SI"/>
        </w:rPr>
      </w:pPr>
      <w:r>
        <w:rPr>
          <w:rFonts w:ascii="Times New Roman" w:hAnsi="Times New Roman"/>
          <w:i/>
          <w:lang w:val="sl-SI"/>
        </w:rPr>
        <w:t>Izračuni</w:t>
      </w:r>
    </w:p>
    <w:p w:rsidR="00E2472C" w:rsidRDefault="00E2472C">
      <w:pPr>
        <w:ind w:left="360"/>
        <w:rPr>
          <w:rFonts w:ascii="Times New Roman" w:hAnsi="Times New Roman"/>
          <w:lang w:val="sl-SI"/>
        </w:rPr>
      </w:pPr>
    </w:p>
    <w:p w:rsidR="00E2472C" w:rsidRDefault="00936BBB">
      <w:pPr>
        <w:numPr>
          <w:ilvl w:val="0"/>
          <w:numId w:val="3"/>
        </w:numPr>
        <w:rPr>
          <w:rFonts w:ascii="Times New Roman" w:hAnsi="Times New Roman"/>
          <w:lang w:val="sl-SI"/>
        </w:rPr>
      </w:pPr>
      <w:r>
        <w:rPr>
          <w:rFonts w:ascii="Times New Roman" w:hAnsi="Times New Roman"/>
          <w:lang w:val="sl-SI"/>
        </w:rPr>
        <w:t>absolutna napaka pri merjenju:</w:t>
      </w:r>
      <w:r>
        <w:rPr>
          <w:rFonts w:ascii="Times New Roman" w:hAnsi="Times New Roman"/>
          <w:lang w:val="sl-SI"/>
        </w:rPr>
        <w:tab/>
      </w:r>
      <w:r>
        <w:rPr>
          <w:rFonts w:ascii="Times New Roman" w:hAnsi="Times New Roman"/>
          <w:position w:val="-12"/>
          <w:lang w:val="sl-SI"/>
        </w:rPr>
        <w:object w:dxaOrig="1320" w:dyaOrig="360">
          <v:shape id="_x0000_i1028" type="#_x0000_t75" style="width:66.15pt;height:18.4pt" o:ole="" fillcolor="window">
            <v:imagedata r:id="rId11" o:title=""/>
          </v:shape>
          <o:OLEObject Type="Embed" ProgID="Equation.3" ShapeID="_x0000_i1028" DrawAspect="Content" ObjectID="_1617524070" r:id="rId12"/>
        </w:object>
      </w:r>
    </w:p>
    <w:p w:rsidR="00E2472C" w:rsidRDefault="00936BBB">
      <w:pPr>
        <w:numPr>
          <w:ilvl w:val="0"/>
          <w:numId w:val="3"/>
        </w:numPr>
        <w:rPr>
          <w:rFonts w:ascii="Times New Roman" w:hAnsi="Times New Roman"/>
          <w:lang w:val="sl-SI"/>
        </w:rPr>
      </w:pPr>
      <w:r>
        <w:rPr>
          <w:rFonts w:ascii="Times New Roman" w:hAnsi="Times New Roman"/>
          <w:lang w:val="sl-SI"/>
        </w:rPr>
        <w:t xml:space="preserve">relativna napaka pri merjenju: </w:t>
      </w:r>
      <w:r>
        <w:rPr>
          <w:rFonts w:ascii="Times New Roman" w:hAnsi="Times New Roman"/>
          <w:lang w:val="sl-SI"/>
        </w:rPr>
        <w:tab/>
      </w:r>
      <w:r>
        <w:rPr>
          <w:rFonts w:ascii="Times New Roman" w:hAnsi="Times New Roman"/>
          <w:position w:val="-14"/>
          <w:lang w:val="sl-SI"/>
        </w:rPr>
        <w:object w:dxaOrig="2160" w:dyaOrig="400">
          <v:shape id="_x0000_i1029" type="#_x0000_t75" style="width:108pt;height:20.1pt" o:ole="" fillcolor="window">
            <v:imagedata r:id="rId13" o:title=""/>
          </v:shape>
          <o:OLEObject Type="Embed" ProgID="Equation.3" ShapeID="_x0000_i1029" DrawAspect="Content" ObjectID="_1617524071" r:id="rId14"/>
        </w:object>
      </w:r>
      <w:r>
        <w:rPr>
          <w:rFonts w:ascii="Times New Roman" w:hAnsi="Times New Roman"/>
          <w:lang w:val="sl-SI"/>
        </w:rPr>
        <w:t xml:space="preserve">; </w:t>
      </w:r>
      <w:r>
        <w:rPr>
          <w:rFonts w:ascii="Times New Roman" w:hAnsi="Times New Roman"/>
          <w:position w:val="-10"/>
          <w:u w:val="thick"/>
          <w:lang w:val="sl-SI"/>
        </w:rPr>
        <w:object w:dxaOrig="1600" w:dyaOrig="340">
          <v:shape id="_x0000_i1030" type="#_x0000_t75" style="width:80.35pt;height:17.6pt" o:ole="" fillcolor="window">
            <v:imagedata r:id="rId15" o:title=""/>
          </v:shape>
          <o:OLEObject Type="Embed" ProgID="Equation.3" ShapeID="_x0000_i1030" DrawAspect="Content" ObjectID="_1617524072" r:id="rId16"/>
        </w:object>
      </w:r>
    </w:p>
    <w:p w:rsidR="00E2472C" w:rsidRDefault="00E2472C">
      <w:pPr>
        <w:rPr>
          <w:rFonts w:ascii="Times New Roman" w:hAnsi="Times New Roman"/>
          <w:u w:val="thick"/>
          <w:lang w:val="sl-SI"/>
        </w:rPr>
      </w:pPr>
    </w:p>
    <w:p w:rsidR="00E2472C" w:rsidRDefault="00936BBB">
      <w:pPr>
        <w:numPr>
          <w:ilvl w:val="0"/>
          <w:numId w:val="3"/>
        </w:numPr>
        <w:rPr>
          <w:rFonts w:ascii="Times New Roman" w:hAnsi="Times New Roman"/>
          <w:lang w:val="sl-SI"/>
        </w:rPr>
      </w:pPr>
      <w:r>
        <w:rPr>
          <w:rFonts w:ascii="Times New Roman" w:hAnsi="Times New Roman"/>
          <w:lang w:val="sl-SI"/>
        </w:rPr>
        <w:t>dolžina vrvice znaša 56</w:t>
      </w:r>
      <w:r>
        <w:rPr>
          <w:rFonts w:ascii="Times New Roman" w:hAnsi="Times New Roman"/>
          <w:i/>
          <w:lang w:val="sl-SI"/>
        </w:rPr>
        <w:t>cm</w:t>
      </w:r>
      <w:r>
        <w:rPr>
          <w:rFonts w:ascii="Times New Roman" w:hAnsi="Times New Roman"/>
          <w:lang w:val="sl-SI"/>
        </w:rPr>
        <w:t xml:space="preserve">; obhodni čas lahko tudi izračunamo s pomočjo enačbe </w:t>
      </w:r>
      <w:r>
        <w:rPr>
          <w:rFonts w:ascii="Times New Roman" w:hAnsi="Times New Roman"/>
          <w:position w:val="-16"/>
          <w:lang w:val="sl-SI"/>
        </w:rPr>
        <w:object w:dxaOrig="1100" w:dyaOrig="460">
          <v:shape id="_x0000_i1031" type="#_x0000_t75" style="width:54.4pt;height:23.45pt" o:ole="" fillcolor="window">
            <v:imagedata r:id="rId17" o:title=""/>
          </v:shape>
          <o:OLEObject Type="Embed" ProgID="Equation.3" ShapeID="_x0000_i1031" DrawAspect="Content" ObjectID="_1617524073" r:id="rId18"/>
        </w:object>
      </w:r>
      <w:r>
        <w:rPr>
          <w:rFonts w:ascii="Times New Roman" w:hAnsi="Times New Roman"/>
          <w:lang w:val="sl-SI"/>
        </w:rPr>
        <w:t xml:space="preserve">; </w:t>
      </w:r>
      <w:r>
        <w:rPr>
          <w:rFonts w:ascii="Times New Roman" w:hAnsi="Times New Roman"/>
          <w:lang w:val="sl-SI"/>
        </w:rPr>
        <w:tab/>
      </w:r>
      <w:r>
        <w:rPr>
          <w:rFonts w:ascii="Times New Roman" w:hAnsi="Times New Roman"/>
          <w:position w:val="-28"/>
          <w:u w:val="thick"/>
          <w:lang w:val="sl-SI"/>
        </w:rPr>
        <w:object w:dxaOrig="2439" w:dyaOrig="600">
          <v:shape id="_x0000_i1032" type="#_x0000_t75" style="width:122.25pt;height:30.15pt" o:ole="" fillcolor="window">
            <v:imagedata r:id="rId19" o:title=""/>
          </v:shape>
          <o:OLEObject Type="Embed" ProgID="Equation.3" ShapeID="_x0000_i1032" DrawAspect="Content" ObjectID="_1617524074" r:id="rId20"/>
        </w:object>
      </w:r>
    </w:p>
    <w:p w:rsidR="00E2472C" w:rsidRDefault="00E2472C">
      <w:pPr>
        <w:rPr>
          <w:rFonts w:ascii="Times New Roman" w:hAnsi="Times New Roman"/>
          <w:lang w:val="sl-SI"/>
        </w:rPr>
      </w:pPr>
    </w:p>
    <w:p w:rsidR="00E2472C" w:rsidRDefault="00936BBB">
      <w:pPr>
        <w:numPr>
          <w:ilvl w:val="0"/>
          <w:numId w:val="3"/>
        </w:numPr>
        <w:rPr>
          <w:rFonts w:ascii="Times New Roman" w:hAnsi="Times New Roman"/>
          <w:lang w:val="sl-SI"/>
        </w:rPr>
      </w:pPr>
      <w:r>
        <w:rPr>
          <w:rFonts w:ascii="Times New Roman" w:hAnsi="Times New Roman"/>
          <w:lang w:val="sl-SI"/>
        </w:rPr>
        <w:t xml:space="preserve">povprečje med izračunanim in merjenim obhodnim časom znaša </w:t>
      </w:r>
      <w:r>
        <w:rPr>
          <w:rFonts w:ascii="Times New Roman" w:hAnsi="Times New Roman"/>
          <w:position w:val="-10"/>
          <w:lang w:val="sl-SI"/>
        </w:rPr>
        <w:object w:dxaOrig="920" w:dyaOrig="320">
          <v:shape id="_x0000_i1033" type="#_x0000_t75" style="width:46.05pt;height:15.9pt" o:ole="" fillcolor="window">
            <v:imagedata r:id="rId21" o:title=""/>
          </v:shape>
          <o:OLEObject Type="Embed" ProgID="Equation.3" ShapeID="_x0000_i1033" DrawAspect="Content" ObjectID="_1617524075" r:id="rId22"/>
        </w:object>
      </w:r>
    </w:p>
    <w:p w:rsidR="00E2472C" w:rsidRDefault="00936BBB">
      <w:pPr>
        <w:numPr>
          <w:ilvl w:val="0"/>
          <w:numId w:val="3"/>
        </w:numPr>
        <w:rPr>
          <w:rFonts w:ascii="Times New Roman" w:hAnsi="Times New Roman"/>
          <w:lang w:val="sl-SI"/>
        </w:rPr>
      </w:pPr>
      <w:r>
        <w:rPr>
          <w:rFonts w:ascii="Times New Roman" w:hAnsi="Times New Roman"/>
          <w:lang w:val="sl-SI"/>
        </w:rPr>
        <w:t xml:space="preserve">odstopanje med rezultatoma torej znaša </w:t>
      </w:r>
      <w:r>
        <w:rPr>
          <w:rFonts w:ascii="Times New Roman" w:hAnsi="Times New Roman"/>
          <w:position w:val="-10"/>
          <w:lang w:val="sl-SI"/>
        </w:rPr>
        <w:object w:dxaOrig="960" w:dyaOrig="320">
          <v:shape id="_x0000_i1034" type="#_x0000_t75" style="width:47.7pt;height:15.9pt" o:ole="" fillcolor="window">
            <v:imagedata r:id="rId23" o:title=""/>
          </v:shape>
          <o:OLEObject Type="Embed" ProgID="Equation.3" ShapeID="_x0000_i1034" DrawAspect="Content" ObjectID="_1617524076" r:id="rId24"/>
        </w:object>
      </w:r>
      <w:r>
        <w:rPr>
          <w:rFonts w:ascii="Times New Roman" w:hAnsi="Times New Roman"/>
          <w:lang w:val="sl-SI"/>
        </w:rPr>
        <w:t xml:space="preserve">, pri tem je relativna napaka </w:t>
      </w:r>
      <w:r>
        <w:rPr>
          <w:rFonts w:ascii="Times New Roman" w:hAnsi="Times New Roman"/>
          <w:position w:val="-14"/>
          <w:lang w:val="sl-SI"/>
        </w:rPr>
        <w:object w:dxaOrig="2260" w:dyaOrig="400">
          <v:shape id="_x0000_i1035" type="#_x0000_t75" style="width:113pt;height:20.1pt" o:ole="" fillcolor="window">
            <v:imagedata r:id="rId25" o:title=""/>
          </v:shape>
          <o:OLEObject Type="Embed" ProgID="Equation.3" ShapeID="_x0000_i1035" DrawAspect="Content" ObjectID="_1617524077" r:id="rId26"/>
        </w:object>
      </w:r>
      <w:r>
        <w:rPr>
          <w:rFonts w:ascii="Times New Roman" w:hAnsi="Times New Roman"/>
          <w:lang w:val="sl-SI"/>
        </w:rPr>
        <w:t xml:space="preserve">, </w:t>
      </w:r>
      <w:r>
        <w:rPr>
          <w:rFonts w:ascii="Times New Roman" w:hAnsi="Times New Roman"/>
          <w:lang w:val="sl-SI"/>
        </w:rPr>
        <w:tab/>
      </w:r>
      <w:r>
        <w:rPr>
          <w:rFonts w:ascii="Times New Roman" w:hAnsi="Times New Roman"/>
          <w:position w:val="-12"/>
          <w:u w:val="thick"/>
          <w:lang w:val="sl-SI"/>
        </w:rPr>
        <w:object w:dxaOrig="1700" w:dyaOrig="360">
          <v:shape id="_x0000_i1036" type="#_x0000_t75" style="width:84.55pt;height:18.4pt" o:ole="" fillcolor="window">
            <v:imagedata r:id="rId27" o:title=""/>
          </v:shape>
          <o:OLEObject Type="Embed" ProgID="Equation.3" ShapeID="_x0000_i1036" DrawAspect="Content" ObjectID="_1617524078" r:id="rId28"/>
        </w:object>
      </w:r>
    </w:p>
    <w:p w:rsidR="00E2472C" w:rsidRDefault="00E2472C">
      <w:pPr>
        <w:rPr>
          <w:rFonts w:ascii="Times New Roman" w:hAnsi="Times New Roman"/>
          <w:lang w:val="sl-SI"/>
        </w:rPr>
      </w:pPr>
    </w:p>
    <w:p w:rsidR="00E2472C" w:rsidRDefault="00936BBB">
      <w:pPr>
        <w:pStyle w:val="Heading1"/>
      </w:pPr>
      <w:r>
        <w:t>Komentar</w:t>
      </w:r>
    </w:p>
    <w:p w:rsidR="00E2472C" w:rsidRDefault="00E2472C">
      <w:pPr>
        <w:rPr>
          <w:rFonts w:ascii="Times New Roman" w:hAnsi="Times New Roman"/>
          <w:i/>
          <w:lang w:val="sl-SI"/>
        </w:rPr>
      </w:pPr>
    </w:p>
    <w:p w:rsidR="00E2472C" w:rsidRDefault="00936BBB">
      <w:pPr>
        <w:jc w:val="both"/>
        <w:rPr>
          <w:rFonts w:ascii="Times New Roman" w:hAnsi="Times New Roman"/>
          <w:lang w:val="sl-SI"/>
        </w:rPr>
      </w:pPr>
      <w:r>
        <w:rPr>
          <w:rFonts w:ascii="Times New Roman" w:hAnsi="Times New Roman"/>
          <w:lang w:val="sl-SI"/>
        </w:rPr>
        <w:t xml:space="preserve">Razlika v rezultatih pri merjenju in izračunu je zelo majhna, torej lahko rečemo, da sta obe metodi precej natančni, le da je računanje ponavadi bolj zanesljivo, saj je pri merjenju udeleženih več dejavnikov, eden zelo pomembnih je naša natančnost, ki pa je ne uspemo vedno doseči. </w:t>
      </w:r>
    </w:p>
    <w:sectPr w:rsidR="00E2472C">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AD9"/>
    <w:multiLevelType w:val="singleLevel"/>
    <w:tmpl w:val="A17CB4C4"/>
    <w:lvl w:ilvl="0">
      <w:start w:val="1"/>
      <w:numFmt w:val="decimal"/>
      <w:lvlText w:val="%1."/>
      <w:lvlJc w:val="left"/>
      <w:pPr>
        <w:tabs>
          <w:tab w:val="num" w:pos="360"/>
        </w:tabs>
        <w:ind w:left="360" w:hanging="360"/>
      </w:pPr>
      <w:rPr>
        <w:rFonts w:hint="default"/>
      </w:rPr>
    </w:lvl>
  </w:abstractNum>
  <w:abstractNum w:abstractNumId="1" w15:restartNumberingAfterBreak="0">
    <w:nsid w:val="18C7408F"/>
    <w:multiLevelType w:val="singleLevel"/>
    <w:tmpl w:val="EFC024BC"/>
    <w:lvl w:ilvl="0">
      <w:start w:val="2"/>
      <w:numFmt w:val="bullet"/>
      <w:lvlText w:val="-"/>
      <w:lvlJc w:val="left"/>
      <w:pPr>
        <w:tabs>
          <w:tab w:val="num" w:pos="720"/>
        </w:tabs>
        <w:ind w:left="720" w:hanging="360"/>
      </w:pPr>
      <w:rPr>
        <w:rFonts w:hint="default"/>
      </w:rPr>
    </w:lvl>
  </w:abstractNum>
  <w:abstractNum w:abstractNumId="2" w15:restartNumberingAfterBreak="0">
    <w:nsid w:val="41CF5A1E"/>
    <w:multiLevelType w:val="singleLevel"/>
    <w:tmpl w:val="20C239C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BBB"/>
    <w:rsid w:val="00936BBB"/>
    <w:rsid w:val="00B96026"/>
    <w:rsid w:val="00E24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outlineLvl w:val="0"/>
    </w:pPr>
    <w:rPr>
      <w:rFonts w:ascii="Times New Roman" w:hAnsi="Times New Roman"/>
      <w: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