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FEFA4" w14:textId="77777777" w:rsidR="008B1856" w:rsidRDefault="008B1856">
      <w:pPr>
        <w:jc w:val="center"/>
        <w:rPr>
          <w:i/>
          <w:sz w:val="44"/>
        </w:rPr>
      </w:pPr>
      <w:bookmarkStart w:id="0" w:name="_GoBack"/>
      <w:bookmarkEnd w:id="0"/>
    </w:p>
    <w:p w14:paraId="42881916" w14:textId="275D5D45" w:rsidR="0083458A" w:rsidRDefault="00AE740D">
      <w:pPr>
        <w:jc w:val="center"/>
        <w:rPr>
          <w:i/>
          <w:sz w:val="44"/>
        </w:rPr>
      </w:pPr>
      <w:r>
        <w:rPr>
          <w:i/>
          <w:sz w:val="44"/>
        </w:rPr>
        <w:t>FIZIKALNE VAJE</w:t>
      </w:r>
    </w:p>
    <w:p w14:paraId="7A374684" w14:textId="77777777" w:rsidR="0083458A" w:rsidRDefault="00AE740D">
      <w:pPr>
        <w:jc w:val="center"/>
      </w:pPr>
      <w:r>
        <w:rPr>
          <w:sz w:val="32"/>
        </w:rPr>
        <w:t>VAJA 2</w:t>
      </w:r>
    </w:p>
    <w:p w14:paraId="35993AE0" w14:textId="77777777" w:rsidR="0083458A" w:rsidRDefault="0083458A">
      <w:pPr>
        <w:jc w:val="both"/>
      </w:pPr>
    </w:p>
    <w:p w14:paraId="52748634" w14:textId="77777777" w:rsidR="0083458A" w:rsidRDefault="0083458A">
      <w:pPr>
        <w:jc w:val="both"/>
      </w:pPr>
    </w:p>
    <w:p w14:paraId="5B4D6922" w14:textId="77777777" w:rsidR="0083458A" w:rsidRDefault="0083458A">
      <w:pPr>
        <w:jc w:val="both"/>
      </w:pPr>
    </w:p>
    <w:p w14:paraId="43C71AF0" w14:textId="77777777" w:rsidR="0083458A" w:rsidRDefault="0083458A">
      <w:pPr>
        <w:jc w:val="both"/>
      </w:pPr>
    </w:p>
    <w:p w14:paraId="48613E02" w14:textId="77777777" w:rsidR="0083458A" w:rsidRDefault="0083458A">
      <w:pPr>
        <w:jc w:val="both"/>
      </w:pPr>
    </w:p>
    <w:p w14:paraId="55949DE1" w14:textId="77777777" w:rsidR="0083458A" w:rsidRDefault="0083458A">
      <w:pPr>
        <w:jc w:val="both"/>
      </w:pPr>
    </w:p>
    <w:p w14:paraId="4179A1B2" w14:textId="77777777" w:rsidR="0083458A" w:rsidRDefault="0083458A">
      <w:pPr>
        <w:jc w:val="both"/>
      </w:pPr>
    </w:p>
    <w:p w14:paraId="723D0526" w14:textId="77777777" w:rsidR="0083458A" w:rsidRDefault="0083458A">
      <w:pPr>
        <w:jc w:val="both"/>
      </w:pPr>
    </w:p>
    <w:p w14:paraId="29FB7AB1" w14:textId="77777777" w:rsidR="0083458A" w:rsidRDefault="0083458A">
      <w:pPr>
        <w:jc w:val="both"/>
      </w:pPr>
    </w:p>
    <w:p w14:paraId="2F9EA3C1" w14:textId="77777777" w:rsidR="0083458A" w:rsidRDefault="0083458A">
      <w:pPr>
        <w:jc w:val="both"/>
      </w:pPr>
    </w:p>
    <w:p w14:paraId="73FCF994" w14:textId="77777777" w:rsidR="0083458A" w:rsidRDefault="0083458A">
      <w:pPr>
        <w:jc w:val="both"/>
      </w:pPr>
    </w:p>
    <w:p w14:paraId="4AFF9422" w14:textId="77777777" w:rsidR="0083458A" w:rsidRDefault="0083458A">
      <w:pPr>
        <w:jc w:val="both"/>
      </w:pPr>
    </w:p>
    <w:p w14:paraId="49E2AF72" w14:textId="77777777" w:rsidR="0083458A" w:rsidRDefault="0083458A">
      <w:pPr>
        <w:jc w:val="both"/>
      </w:pPr>
    </w:p>
    <w:p w14:paraId="58258C30" w14:textId="77777777" w:rsidR="0083458A" w:rsidRDefault="0083458A">
      <w:pPr>
        <w:jc w:val="both"/>
      </w:pPr>
    </w:p>
    <w:p w14:paraId="337FE04F" w14:textId="77777777" w:rsidR="0083458A" w:rsidRDefault="00AE740D">
      <w:pPr>
        <w:jc w:val="center"/>
      </w:pPr>
      <w:r>
        <w:rPr>
          <w:b/>
          <w:i/>
          <w:sz w:val="72"/>
        </w:rPr>
        <w:t>VSILJENO NIHANJE IN RESONANCA</w:t>
      </w:r>
    </w:p>
    <w:p w14:paraId="4BCD0C7E" w14:textId="77777777" w:rsidR="0083458A" w:rsidRDefault="0083458A">
      <w:pPr>
        <w:jc w:val="both"/>
      </w:pPr>
    </w:p>
    <w:p w14:paraId="146516CB" w14:textId="77777777" w:rsidR="0083458A" w:rsidRDefault="0083458A">
      <w:pPr>
        <w:jc w:val="both"/>
      </w:pPr>
    </w:p>
    <w:p w14:paraId="05281522" w14:textId="77777777" w:rsidR="0083458A" w:rsidRDefault="0083458A">
      <w:pPr>
        <w:jc w:val="both"/>
      </w:pPr>
    </w:p>
    <w:p w14:paraId="6DBF7358" w14:textId="77777777" w:rsidR="0083458A" w:rsidRDefault="0083458A">
      <w:pPr>
        <w:jc w:val="both"/>
      </w:pPr>
    </w:p>
    <w:p w14:paraId="64B8E76F" w14:textId="77777777" w:rsidR="0083458A" w:rsidRDefault="0083458A">
      <w:pPr>
        <w:jc w:val="both"/>
      </w:pPr>
    </w:p>
    <w:p w14:paraId="24937FE4" w14:textId="77777777" w:rsidR="0083458A" w:rsidRDefault="0083458A">
      <w:pPr>
        <w:jc w:val="both"/>
      </w:pPr>
    </w:p>
    <w:p w14:paraId="499E1D40" w14:textId="77777777" w:rsidR="0083458A" w:rsidRDefault="0083458A">
      <w:pPr>
        <w:jc w:val="both"/>
      </w:pPr>
    </w:p>
    <w:p w14:paraId="51D50EC5" w14:textId="77777777" w:rsidR="0083458A" w:rsidRDefault="0083458A">
      <w:pPr>
        <w:jc w:val="both"/>
      </w:pPr>
    </w:p>
    <w:p w14:paraId="75A47255" w14:textId="77777777" w:rsidR="0083458A" w:rsidRDefault="0083458A">
      <w:pPr>
        <w:jc w:val="both"/>
      </w:pPr>
    </w:p>
    <w:p w14:paraId="40C30DC1" w14:textId="77777777" w:rsidR="0083458A" w:rsidRDefault="0083458A">
      <w:pPr>
        <w:jc w:val="both"/>
      </w:pPr>
    </w:p>
    <w:p w14:paraId="15F38E17" w14:textId="77777777" w:rsidR="0083458A" w:rsidRDefault="0083458A">
      <w:pPr>
        <w:jc w:val="both"/>
      </w:pPr>
    </w:p>
    <w:p w14:paraId="3B9ECE30" w14:textId="77777777" w:rsidR="0083458A" w:rsidRDefault="0083458A">
      <w:pPr>
        <w:jc w:val="both"/>
      </w:pPr>
    </w:p>
    <w:p w14:paraId="5658EC5D" w14:textId="77777777" w:rsidR="0083458A" w:rsidRDefault="0083458A">
      <w:pPr>
        <w:jc w:val="both"/>
      </w:pPr>
    </w:p>
    <w:p w14:paraId="2C709F53" w14:textId="77777777" w:rsidR="0083458A" w:rsidRDefault="0083458A">
      <w:pPr>
        <w:jc w:val="both"/>
      </w:pPr>
    </w:p>
    <w:p w14:paraId="779D106F" w14:textId="77777777" w:rsidR="0083458A" w:rsidRDefault="0083458A">
      <w:pPr>
        <w:jc w:val="both"/>
      </w:pPr>
    </w:p>
    <w:p w14:paraId="5F8C77FF" w14:textId="77777777" w:rsidR="0083458A" w:rsidRDefault="0083458A">
      <w:pPr>
        <w:jc w:val="both"/>
      </w:pPr>
    </w:p>
    <w:p w14:paraId="2AE44D47" w14:textId="77777777" w:rsidR="0083458A" w:rsidRDefault="0083458A">
      <w:pPr>
        <w:jc w:val="both"/>
      </w:pPr>
    </w:p>
    <w:p w14:paraId="137555E4" w14:textId="77777777" w:rsidR="0083458A" w:rsidRDefault="0083458A">
      <w:pPr>
        <w:jc w:val="both"/>
      </w:pPr>
    </w:p>
    <w:p w14:paraId="176CCF0B" w14:textId="77777777" w:rsidR="0083458A" w:rsidRDefault="0083458A">
      <w:pPr>
        <w:jc w:val="both"/>
      </w:pPr>
    </w:p>
    <w:p w14:paraId="444F89D9" w14:textId="77777777" w:rsidR="0083458A" w:rsidRDefault="0083458A">
      <w:pPr>
        <w:jc w:val="both"/>
      </w:pPr>
    </w:p>
    <w:p w14:paraId="3A683428" w14:textId="77777777" w:rsidR="0083458A" w:rsidRDefault="0083458A">
      <w:pPr>
        <w:jc w:val="both"/>
      </w:pPr>
    </w:p>
    <w:p w14:paraId="4AA5B2B4" w14:textId="77777777" w:rsidR="0083458A" w:rsidRDefault="0083458A">
      <w:pPr>
        <w:jc w:val="both"/>
      </w:pPr>
    </w:p>
    <w:p w14:paraId="51C58ADE" w14:textId="77777777" w:rsidR="0083458A" w:rsidRDefault="0083458A">
      <w:pPr>
        <w:jc w:val="both"/>
      </w:pPr>
    </w:p>
    <w:p w14:paraId="226D3A92" w14:textId="6DEFD101" w:rsidR="0083458A" w:rsidRDefault="0083458A">
      <w:pPr>
        <w:jc w:val="both"/>
      </w:pPr>
    </w:p>
    <w:p w14:paraId="2431FDFD" w14:textId="77777777" w:rsidR="006D5A0D" w:rsidRDefault="006D5A0D">
      <w:pPr>
        <w:jc w:val="both"/>
      </w:pPr>
    </w:p>
    <w:p w14:paraId="3243CF1F" w14:textId="566D613A" w:rsidR="0083458A" w:rsidRDefault="00AE740D">
      <w:pPr>
        <w:jc w:val="both"/>
        <w:rPr>
          <w:b/>
        </w:rPr>
      </w:pPr>
      <w:r>
        <w:rPr>
          <w:b/>
        </w:rPr>
        <w:lastRenderedPageBreak/>
        <w:t>1.0 UVOD</w:t>
      </w:r>
    </w:p>
    <w:p w14:paraId="6E6D983F" w14:textId="77777777" w:rsidR="0083458A" w:rsidRDefault="00AE740D">
      <w:pPr>
        <w:jc w:val="both"/>
      </w:pPr>
      <w:r>
        <w:t>O lastnem nihanju nihala govorimo, kadar je nihalo prepuščeno samo sebi. nihanje pa  lahko povzročimo z dodatno nihajočo zunanjo silo. Tedaj pravimo, da je nihanje nihala vsiljeno. Če sila periodično niha in če dovolj dolgo počakamo, se ustali nihanje, ki je prav tako periodično in nedušeno. Morebitno lastno nihanje nihala je tedaj že zamrlo in nihalo niha le še s frekvenco, s kakršno niha zunanja sila. Ta frekvenca in z njo nihajni čas torej nista prav nič značilna za nihalo.</w:t>
      </w:r>
    </w:p>
    <w:p w14:paraId="7D76ADBB" w14:textId="77777777" w:rsidR="0083458A" w:rsidRDefault="00AE740D">
      <w:pPr>
        <w:jc w:val="both"/>
      </w:pPr>
      <w:r>
        <w:t>Če nihalu vsiljujemo nihanje s frekvenco, ki je manjša od lastne frekvence nihala, so tudi amplitude nihanja majhne. Ko frekvenco vsiljenega nihanja večamo, se veča tudi amplituda nihala. Amplituda je največja, ko je vsiljena frekvenca enak lastni frekvenci nihala. Pri veliki vsiljeni frekvenci se amplitude nihala zopet zmanjšujejo.</w:t>
      </w:r>
    </w:p>
    <w:p w14:paraId="4CF3E115" w14:textId="77777777" w:rsidR="0083458A" w:rsidRDefault="00AE740D">
      <w:pPr>
        <w:jc w:val="both"/>
      </w:pPr>
      <w:r>
        <w:t>Če narišemo graf  odvisnosti amplitude nihala (s</w:t>
      </w:r>
      <w:r>
        <w:object w:dxaOrig="173" w:dyaOrig="340" w14:anchorId="637D1F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7.6pt" o:ole="">
            <v:imagedata r:id="rId4" o:title=""/>
          </v:shape>
          <o:OLEObject Type="Embed" ProgID="CorelEquation" ShapeID="_x0000_i1025" DrawAspect="Content" ObjectID="_1617527042" r:id="rId5"/>
        </w:object>
      </w:r>
      <w:r>
        <w:t>) v odvisnosti od vsiljene frekvence (</w:t>
      </w:r>
      <w:r>
        <w:sym w:font="Symbol" w:char="F06E"/>
      </w:r>
      <w:r>
        <w:t>), dobimo resonančno krivuljo za nihalo. Krivulja ima vrh pri lastni frekvenci. Višina vrha je odvisna še od dušenja. pri močnem dušenju je vrh precej nižji in je pri frekvenci, ki je cel</w:t>
      </w:r>
      <w:r>
        <w:sym w:font="Times New Roman" w:char="00F3"/>
      </w:r>
      <w:r>
        <w:t xml:space="preserve"> nekoliko manjša od lastne frekvence nihala.</w:t>
      </w:r>
    </w:p>
    <w:p w14:paraId="430ED019" w14:textId="77777777" w:rsidR="0083458A" w:rsidRDefault="0083458A">
      <w:pPr>
        <w:jc w:val="both"/>
      </w:pPr>
    </w:p>
    <w:p w14:paraId="2A523762" w14:textId="77777777" w:rsidR="0083458A" w:rsidRDefault="00AE740D">
      <w:pPr>
        <w:jc w:val="both"/>
      </w:pPr>
      <w:r>
        <w:rPr>
          <w:b/>
        </w:rPr>
        <w:t>2.0 NALOGA</w:t>
      </w:r>
      <w:r>
        <w:t>:</w:t>
      </w:r>
    </w:p>
    <w:p w14:paraId="2F237E73" w14:textId="77777777" w:rsidR="0083458A" w:rsidRDefault="00AE740D">
      <w:pPr>
        <w:jc w:val="both"/>
      </w:pPr>
      <w:r>
        <w:t>- izračunati frekvenco vsiljenega nihanja za vse dolžine nihala, s katerim nihanje vsiljujemo</w:t>
      </w:r>
    </w:p>
    <w:p w14:paraId="7FB6BF11" w14:textId="77777777" w:rsidR="0083458A" w:rsidRDefault="00AE740D">
      <w:pPr>
        <w:jc w:val="both"/>
      </w:pPr>
      <w:r>
        <w:t>- narisati resonančno krivuljo s</w:t>
      </w:r>
      <w:r>
        <w:object w:dxaOrig="173" w:dyaOrig="340" w14:anchorId="523DBD61">
          <v:shape id="_x0000_i1026" type="#_x0000_t75" style="width:9.2pt;height:17.6pt" o:ole="">
            <v:imagedata r:id="rId4" o:title=""/>
          </v:shape>
          <o:OLEObject Type="Embed" ProgID="CorelEquation" ShapeID="_x0000_i1026" DrawAspect="Content" ObjectID="_1617527043" r:id="rId6"/>
        </w:object>
      </w:r>
      <w:r>
        <w:t xml:space="preserve"> (</w:t>
      </w:r>
      <w:r>
        <w:sym w:font="Symbol" w:char="F06E"/>
      </w:r>
      <w:r>
        <w:t>) za matematično nihalo</w:t>
      </w:r>
    </w:p>
    <w:p w14:paraId="20CCDF58" w14:textId="77777777" w:rsidR="0083458A" w:rsidRDefault="0083458A">
      <w:pPr>
        <w:jc w:val="both"/>
      </w:pPr>
    </w:p>
    <w:p w14:paraId="6EA109A9" w14:textId="77777777" w:rsidR="0083458A" w:rsidRDefault="00AE740D">
      <w:pPr>
        <w:jc w:val="both"/>
      </w:pPr>
      <w:r>
        <w:rPr>
          <w:b/>
        </w:rPr>
        <w:t>3.0 POTREBŠČINE</w:t>
      </w:r>
      <w:r>
        <w:t>: - stativni material s prižemami</w:t>
      </w:r>
    </w:p>
    <w:p w14:paraId="32FC784E" w14:textId="77777777" w:rsidR="0083458A" w:rsidRDefault="00AE740D">
      <w:pPr>
        <w:jc w:val="both"/>
      </w:pPr>
      <w:r>
        <w:tab/>
      </w:r>
      <w:r>
        <w:tab/>
        <w:t xml:space="preserve">             - lesena palica</w:t>
      </w:r>
    </w:p>
    <w:p w14:paraId="1AA00EFF" w14:textId="77777777" w:rsidR="0083458A" w:rsidRDefault="00AE740D">
      <w:pPr>
        <w:jc w:val="both"/>
      </w:pPr>
      <w:r>
        <w:tab/>
      </w:r>
      <w:r>
        <w:tab/>
      </w:r>
      <w:r>
        <w:tab/>
        <w:t xml:space="preserve">  - utež na vrvi</w:t>
      </w:r>
    </w:p>
    <w:p w14:paraId="096C0B21" w14:textId="77777777" w:rsidR="0083458A" w:rsidRDefault="00AE740D">
      <w:pPr>
        <w:jc w:val="both"/>
      </w:pPr>
      <w:r>
        <w:tab/>
      </w:r>
      <w:r>
        <w:tab/>
      </w:r>
      <w:r>
        <w:tab/>
        <w:t xml:space="preserve">  - lesen zatič (vžigalica)</w:t>
      </w:r>
    </w:p>
    <w:p w14:paraId="10F3B733" w14:textId="77777777" w:rsidR="0083458A" w:rsidRDefault="00AE740D">
      <w:pPr>
        <w:jc w:val="both"/>
      </w:pPr>
      <w:r>
        <w:tab/>
      </w:r>
      <w:r>
        <w:tab/>
      </w:r>
      <w:r>
        <w:tab/>
        <w:t xml:space="preserve">  - merilo, meter</w:t>
      </w:r>
    </w:p>
    <w:p w14:paraId="70C7DA91" w14:textId="77777777" w:rsidR="0083458A" w:rsidRDefault="0083458A">
      <w:pPr>
        <w:jc w:val="both"/>
      </w:pPr>
    </w:p>
    <w:p w14:paraId="3E18F1F9" w14:textId="77777777" w:rsidR="0083458A" w:rsidRDefault="00AE740D">
      <w:pPr>
        <w:jc w:val="both"/>
      </w:pPr>
      <w:r>
        <w:rPr>
          <w:b/>
        </w:rPr>
        <w:t>4.0 POTEK DELA</w:t>
      </w:r>
      <w:r>
        <w:t xml:space="preserve"> </w:t>
      </w:r>
    </w:p>
    <w:tbl>
      <w:tblPr>
        <w:tblW w:w="0" w:type="auto"/>
        <w:tblLayout w:type="fixed"/>
        <w:tblCellMar>
          <w:left w:w="70" w:type="dxa"/>
          <w:right w:w="70" w:type="dxa"/>
        </w:tblCellMar>
        <w:tblLook w:val="0000" w:firstRow="0" w:lastRow="0" w:firstColumn="0" w:lastColumn="0" w:noHBand="0" w:noVBand="0"/>
      </w:tblPr>
      <w:tblGrid>
        <w:gridCol w:w="4719"/>
        <w:gridCol w:w="4719"/>
      </w:tblGrid>
      <w:tr w:rsidR="0083458A" w14:paraId="1DB85BAD" w14:textId="77777777">
        <w:tc>
          <w:tcPr>
            <w:tcW w:w="4719" w:type="dxa"/>
          </w:tcPr>
          <w:p w14:paraId="5E07BCB0" w14:textId="77777777" w:rsidR="0083458A" w:rsidRDefault="00AE740D">
            <w:pPr>
              <w:jc w:val="both"/>
            </w:pPr>
            <w:r>
              <w:t xml:space="preserve">Sestavimo stativni material s prižemami, kot kaže slika. Nihalu,  s katerim vsiljujemo nihanje, spreminjamo dolžino (od 50 cm do 10 cm). pri tem opravimo približno 15 meritev. Amplituda nihala naj ne bo večja od 3 cm. Merimo amplitudo matematičnega nihala. </w:t>
            </w:r>
          </w:p>
        </w:tc>
        <w:tc>
          <w:tcPr>
            <w:tcW w:w="4719" w:type="dxa"/>
          </w:tcPr>
          <w:p w14:paraId="69DEA6F8" w14:textId="77777777" w:rsidR="0083458A" w:rsidRDefault="00AE740D">
            <w:pPr>
              <w:jc w:val="both"/>
            </w:pPr>
            <w:r>
              <w:t xml:space="preserve">             </w:t>
            </w:r>
            <w:r>
              <w:object w:dxaOrig="4439" w:dyaOrig="5525" w14:anchorId="259711A0">
                <v:shape id="_x0000_i1027" type="#_x0000_t75" style="width:128.95pt;height:138.15pt" o:ole="">
                  <v:imagedata r:id="rId7" o:title=""/>
                </v:shape>
                <o:OLEObject Type="Embed" ProgID="CDraw5" ShapeID="_x0000_i1027" DrawAspect="Content" ObjectID="_1617527044" r:id="rId8"/>
              </w:object>
            </w:r>
          </w:p>
        </w:tc>
      </w:tr>
    </w:tbl>
    <w:p w14:paraId="44A1BEAF" w14:textId="77777777" w:rsidR="0083458A" w:rsidRDefault="0083458A">
      <w:pPr>
        <w:jc w:val="both"/>
      </w:pPr>
    </w:p>
    <w:p w14:paraId="0C1D1A51" w14:textId="77777777" w:rsidR="0083458A" w:rsidRDefault="0083458A">
      <w:pPr>
        <w:jc w:val="both"/>
      </w:pPr>
    </w:p>
    <w:p w14:paraId="538747A0" w14:textId="77777777" w:rsidR="0083458A" w:rsidRDefault="00AE740D">
      <w:pPr>
        <w:jc w:val="both"/>
        <w:rPr>
          <w:b/>
        </w:rPr>
      </w:pPr>
      <w:r>
        <w:rPr>
          <w:b/>
        </w:rPr>
        <w:t>5.0 MERITVE</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822"/>
        <w:gridCol w:w="682"/>
        <w:gridCol w:w="682"/>
        <w:gridCol w:w="682"/>
        <w:gridCol w:w="682"/>
        <w:gridCol w:w="682"/>
        <w:gridCol w:w="502"/>
        <w:gridCol w:w="682"/>
        <w:gridCol w:w="682"/>
        <w:gridCol w:w="682"/>
        <w:gridCol w:w="682"/>
        <w:gridCol w:w="682"/>
        <w:gridCol w:w="682"/>
      </w:tblGrid>
      <w:tr w:rsidR="0083458A" w14:paraId="5B87B746" w14:textId="77777777">
        <w:trPr>
          <w:trHeight w:val="420"/>
        </w:trPr>
        <w:tc>
          <w:tcPr>
            <w:tcW w:w="822" w:type="dxa"/>
            <w:tcBorders>
              <w:bottom w:val="single" w:sz="12" w:space="0" w:color="000000"/>
            </w:tcBorders>
          </w:tcPr>
          <w:p w14:paraId="07D3B9CB" w14:textId="77777777" w:rsidR="0083458A" w:rsidRDefault="00AE740D">
            <w:pPr>
              <w:jc w:val="center"/>
            </w:pPr>
            <w:r>
              <w:t>N</w:t>
            </w:r>
          </w:p>
        </w:tc>
        <w:tc>
          <w:tcPr>
            <w:tcW w:w="682" w:type="dxa"/>
            <w:tcBorders>
              <w:bottom w:val="single" w:sz="12" w:space="0" w:color="000000"/>
            </w:tcBorders>
          </w:tcPr>
          <w:p w14:paraId="608B4D1A" w14:textId="77777777" w:rsidR="0083458A" w:rsidRDefault="00AE740D">
            <w:pPr>
              <w:jc w:val="center"/>
            </w:pPr>
            <w:r>
              <w:t>1</w:t>
            </w:r>
          </w:p>
        </w:tc>
        <w:tc>
          <w:tcPr>
            <w:tcW w:w="682" w:type="dxa"/>
            <w:tcBorders>
              <w:bottom w:val="single" w:sz="12" w:space="0" w:color="000000"/>
            </w:tcBorders>
          </w:tcPr>
          <w:p w14:paraId="5B19CCAA" w14:textId="77777777" w:rsidR="0083458A" w:rsidRDefault="00AE740D">
            <w:pPr>
              <w:jc w:val="center"/>
            </w:pPr>
            <w:r>
              <w:t>2</w:t>
            </w:r>
          </w:p>
        </w:tc>
        <w:tc>
          <w:tcPr>
            <w:tcW w:w="682" w:type="dxa"/>
            <w:tcBorders>
              <w:bottom w:val="single" w:sz="12" w:space="0" w:color="000000"/>
            </w:tcBorders>
          </w:tcPr>
          <w:p w14:paraId="07CD7705" w14:textId="77777777" w:rsidR="0083458A" w:rsidRDefault="00AE740D">
            <w:pPr>
              <w:jc w:val="center"/>
            </w:pPr>
            <w:r>
              <w:t>3</w:t>
            </w:r>
          </w:p>
        </w:tc>
        <w:tc>
          <w:tcPr>
            <w:tcW w:w="682" w:type="dxa"/>
            <w:tcBorders>
              <w:bottom w:val="single" w:sz="12" w:space="0" w:color="000000"/>
            </w:tcBorders>
          </w:tcPr>
          <w:p w14:paraId="705BA573" w14:textId="77777777" w:rsidR="0083458A" w:rsidRDefault="00AE740D">
            <w:pPr>
              <w:jc w:val="center"/>
            </w:pPr>
            <w:r>
              <w:t>4</w:t>
            </w:r>
          </w:p>
        </w:tc>
        <w:tc>
          <w:tcPr>
            <w:tcW w:w="682" w:type="dxa"/>
            <w:tcBorders>
              <w:bottom w:val="single" w:sz="12" w:space="0" w:color="000000"/>
            </w:tcBorders>
          </w:tcPr>
          <w:p w14:paraId="06E7142F" w14:textId="77777777" w:rsidR="0083458A" w:rsidRDefault="00AE740D">
            <w:pPr>
              <w:jc w:val="center"/>
            </w:pPr>
            <w:r>
              <w:t>5</w:t>
            </w:r>
          </w:p>
        </w:tc>
        <w:tc>
          <w:tcPr>
            <w:tcW w:w="502" w:type="dxa"/>
            <w:tcBorders>
              <w:bottom w:val="single" w:sz="12" w:space="0" w:color="000000"/>
            </w:tcBorders>
          </w:tcPr>
          <w:p w14:paraId="69FDF5A9" w14:textId="77777777" w:rsidR="0083458A" w:rsidRDefault="00AE740D">
            <w:pPr>
              <w:jc w:val="center"/>
            </w:pPr>
            <w:r>
              <w:t>6</w:t>
            </w:r>
          </w:p>
        </w:tc>
        <w:tc>
          <w:tcPr>
            <w:tcW w:w="682" w:type="dxa"/>
            <w:tcBorders>
              <w:bottom w:val="single" w:sz="12" w:space="0" w:color="000000"/>
            </w:tcBorders>
          </w:tcPr>
          <w:p w14:paraId="4EC64323" w14:textId="77777777" w:rsidR="0083458A" w:rsidRDefault="00AE740D">
            <w:pPr>
              <w:jc w:val="center"/>
            </w:pPr>
            <w:r>
              <w:t>7</w:t>
            </w:r>
          </w:p>
        </w:tc>
        <w:tc>
          <w:tcPr>
            <w:tcW w:w="682" w:type="dxa"/>
            <w:tcBorders>
              <w:bottom w:val="single" w:sz="12" w:space="0" w:color="000000"/>
            </w:tcBorders>
          </w:tcPr>
          <w:p w14:paraId="270A8163" w14:textId="77777777" w:rsidR="0083458A" w:rsidRDefault="00AE740D">
            <w:pPr>
              <w:jc w:val="center"/>
            </w:pPr>
            <w:r>
              <w:t>8</w:t>
            </w:r>
          </w:p>
        </w:tc>
        <w:tc>
          <w:tcPr>
            <w:tcW w:w="682" w:type="dxa"/>
            <w:tcBorders>
              <w:bottom w:val="single" w:sz="12" w:space="0" w:color="000000"/>
            </w:tcBorders>
          </w:tcPr>
          <w:p w14:paraId="59128D7A" w14:textId="77777777" w:rsidR="0083458A" w:rsidRDefault="00AE740D">
            <w:pPr>
              <w:jc w:val="center"/>
            </w:pPr>
            <w:r>
              <w:t>9</w:t>
            </w:r>
          </w:p>
        </w:tc>
        <w:tc>
          <w:tcPr>
            <w:tcW w:w="682" w:type="dxa"/>
            <w:tcBorders>
              <w:bottom w:val="single" w:sz="12" w:space="0" w:color="000000"/>
            </w:tcBorders>
          </w:tcPr>
          <w:p w14:paraId="37CA6B58" w14:textId="77777777" w:rsidR="0083458A" w:rsidRDefault="00AE740D">
            <w:pPr>
              <w:jc w:val="center"/>
            </w:pPr>
            <w:r>
              <w:t>10</w:t>
            </w:r>
          </w:p>
        </w:tc>
        <w:tc>
          <w:tcPr>
            <w:tcW w:w="682" w:type="dxa"/>
            <w:tcBorders>
              <w:bottom w:val="single" w:sz="12" w:space="0" w:color="000000"/>
            </w:tcBorders>
          </w:tcPr>
          <w:p w14:paraId="6B84E9A1" w14:textId="77777777" w:rsidR="0083458A" w:rsidRDefault="00AE740D">
            <w:pPr>
              <w:jc w:val="center"/>
            </w:pPr>
            <w:r>
              <w:t>11</w:t>
            </w:r>
          </w:p>
        </w:tc>
        <w:tc>
          <w:tcPr>
            <w:tcW w:w="682" w:type="dxa"/>
            <w:tcBorders>
              <w:bottom w:val="single" w:sz="12" w:space="0" w:color="000000"/>
            </w:tcBorders>
          </w:tcPr>
          <w:p w14:paraId="6503BD72" w14:textId="77777777" w:rsidR="0083458A" w:rsidRDefault="00AE740D">
            <w:pPr>
              <w:jc w:val="center"/>
            </w:pPr>
            <w:r>
              <w:t>12</w:t>
            </w:r>
          </w:p>
        </w:tc>
      </w:tr>
      <w:tr w:rsidR="0083458A" w14:paraId="14B32A6C" w14:textId="77777777">
        <w:trPr>
          <w:trHeight w:val="420"/>
        </w:trPr>
        <w:tc>
          <w:tcPr>
            <w:tcW w:w="822" w:type="dxa"/>
            <w:tcBorders>
              <w:top w:val="nil"/>
            </w:tcBorders>
          </w:tcPr>
          <w:p w14:paraId="008ED1C0" w14:textId="77777777" w:rsidR="0083458A" w:rsidRDefault="00AE740D">
            <w:pPr>
              <w:jc w:val="center"/>
            </w:pPr>
            <w:r>
              <w:t xml:space="preserve">l </w:t>
            </w:r>
          </w:p>
          <w:p w14:paraId="021153A6" w14:textId="77777777" w:rsidR="0083458A" w:rsidRDefault="00AE740D">
            <w:pPr>
              <w:jc w:val="center"/>
            </w:pPr>
            <w:r>
              <w:t>(cm)</w:t>
            </w:r>
          </w:p>
        </w:tc>
        <w:tc>
          <w:tcPr>
            <w:tcW w:w="682" w:type="dxa"/>
            <w:tcBorders>
              <w:top w:val="nil"/>
            </w:tcBorders>
          </w:tcPr>
          <w:p w14:paraId="6DC2B0D0" w14:textId="77777777" w:rsidR="0083458A" w:rsidRDefault="00AE740D">
            <w:pPr>
              <w:jc w:val="center"/>
            </w:pPr>
            <w:r>
              <w:t>50</w:t>
            </w:r>
          </w:p>
        </w:tc>
        <w:tc>
          <w:tcPr>
            <w:tcW w:w="682" w:type="dxa"/>
            <w:tcBorders>
              <w:top w:val="nil"/>
            </w:tcBorders>
          </w:tcPr>
          <w:p w14:paraId="61061907" w14:textId="77777777" w:rsidR="0083458A" w:rsidRDefault="00AE740D">
            <w:pPr>
              <w:jc w:val="center"/>
            </w:pPr>
            <w:r>
              <w:t>45</w:t>
            </w:r>
          </w:p>
        </w:tc>
        <w:tc>
          <w:tcPr>
            <w:tcW w:w="682" w:type="dxa"/>
            <w:tcBorders>
              <w:top w:val="nil"/>
            </w:tcBorders>
          </w:tcPr>
          <w:p w14:paraId="41FAFDA1" w14:textId="77777777" w:rsidR="0083458A" w:rsidRDefault="00AE740D">
            <w:pPr>
              <w:jc w:val="center"/>
            </w:pPr>
            <w:r>
              <w:t>40</w:t>
            </w:r>
          </w:p>
        </w:tc>
        <w:tc>
          <w:tcPr>
            <w:tcW w:w="682" w:type="dxa"/>
            <w:tcBorders>
              <w:top w:val="nil"/>
            </w:tcBorders>
          </w:tcPr>
          <w:p w14:paraId="54E0EC65" w14:textId="77777777" w:rsidR="0083458A" w:rsidRDefault="00AE740D">
            <w:pPr>
              <w:jc w:val="center"/>
            </w:pPr>
            <w:r>
              <w:t>35</w:t>
            </w:r>
          </w:p>
        </w:tc>
        <w:tc>
          <w:tcPr>
            <w:tcW w:w="682" w:type="dxa"/>
            <w:tcBorders>
              <w:top w:val="nil"/>
            </w:tcBorders>
          </w:tcPr>
          <w:p w14:paraId="53D9AF8A" w14:textId="77777777" w:rsidR="0083458A" w:rsidRDefault="00AE740D">
            <w:pPr>
              <w:jc w:val="center"/>
            </w:pPr>
            <w:r>
              <w:t>30</w:t>
            </w:r>
          </w:p>
        </w:tc>
        <w:tc>
          <w:tcPr>
            <w:tcW w:w="502" w:type="dxa"/>
            <w:tcBorders>
              <w:top w:val="nil"/>
            </w:tcBorders>
          </w:tcPr>
          <w:p w14:paraId="61301A98" w14:textId="77777777" w:rsidR="0083458A" w:rsidRDefault="00AE740D">
            <w:pPr>
              <w:jc w:val="center"/>
            </w:pPr>
            <w:r>
              <w:t>35</w:t>
            </w:r>
          </w:p>
        </w:tc>
        <w:tc>
          <w:tcPr>
            <w:tcW w:w="682" w:type="dxa"/>
            <w:tcBorders>
              <w:top w:val="nil"/>
            </w:tcBorders>
          </w:tcPr>
          <w:p w14:paraId="0D7934C7" w14:textId="77777777" w:rsidR="0083458A" w:rsidRDefault="00AE740D">
            <w:pPr>
              <w:jc w:val="center"/>
            </w:pPr>
            <w:r>
              <w:t>22</w:t>
            </w:r>
          </w:p>
        </w:tc>
        <w:tc>
          <w:tcPr>
            <w:tcW w:w="682" w:type="dxa"/>
            <w:tcBorders>
              <w:top w:val="nil"/>
            </w:tcBorders>
          </w:tcPr>
          <w:p w14:paraId="7DEA7DEC" w14:textId="77777777" w:rsidR="0083458A" w:rsidRDefault="00AE740D">
            <w:pPr>
              <w:jc w:val="center"/>
            </w:pPr>
            <w:r>
              <w:t>20</w:t>
            </w:r>
          </w:p>
        </w:tc>
        <w:tc>
          <w:tcPr>
            <w:tcW w:w="682" w:type="dxa"/>
            <w:tcBorders>
              <w:top w:val="nil"/>
            </w:tcBorders>
          </w:tcPr>
          <w:p w14:paraId="27EDB974" w14:textId="77777777" w:rsidR="0083458A" w:rsidRDefault="00AE740D">
            <w:pPr>
              <w:jc w:val="center"/>
            </w:pPr>
            <w:r>
              <w:t>18</w:t>
            </w:r>
          </w:p>
        </w:tc>
        <w:tc>
          <w:tcPr>
            <w:tcW w:w="682" w:type="dxa"/>
            <w:tcBorders>
              <w:top w:val="nil"/>
            </w:tcBorders>
          </w:tcPr>
          <w:p w14:paraId="65F04E36" w14:textId="77777777" w:rsidR="0083458A" w:rsidRDefault="00AE740D">
            <w:pPr>
              <w:jc w:val="center"/>
            </w:pPr>
            <w:r>
              <w:t>15</w:t>
            </w:r>
          </w:p>
        </w:tc>
        <w:tc>
          <w:tcPr>
            <w:tcW w:w="682" w:type="dxa"/>
            <w:tcBorders>
              <w:top w:val="nil"/>
            </w:tcBorders>
          </w:tcPr>
          <w:p w14:paraId="4EF55ADD" w14:textId="77777777" w:rsidR="0083458A" w:rsidRDefault="00AE740D">
            <w:pPr>
              <w:jc w:val="center"/>
            </w:pPr>
            <w:r>
              <w:t>12</w:t>
            </w:r>
          </w:p>
        </w:tc>
        <w:tc>
          <w:tcPr>
            <w:tcW w:w="682" w:type="dxa"/>
            <w:tcBorders>
              <w:top w:val="nil"/>
            </w:tcBorders>
          </w:tcPr>
          <w:p w14:paraId="35ABA3AE" w14:textId="77777777" w:rsidR="0083458A" w:rsidRDefault="00AE740D">
            <w:pPr>
              <w:jc w:val="center"/>
            </w:pPr>
            <w:r>
              <w:t>10</w:t>
            </w:r>
          </w:p>
        </w:tc>
      </w:tr>
      <w:tr w:rsidR="0083458A" w14:paraId="31F37E92" w14:textId="77777777">
        <w:trPr>
          <w:trHeight w:val="420"/>
        </w:trPr>
        <w:tc>
          <w:tcPr>
            <w:tcW w:w="822" w:type="dxa"/>
          </w:tcPr>
          <w:p w14:paraId="386F2D67" w14:textId="77777777" w:rsidR="0083458A" w:rsidRDefault="00AE740D">
            <w:pPr>
              <w:jc w:val="center"/>
            </w:pPr>
            <w:r>
              <w:t>s</w:t>
            </w:r>
            <w:r>
              <w:object w:dxaOrig="173" w:dyaOrig="340" w14:anchorId="2F8BE35E">
                <v:shape id="_x0000_i1028" type="#_x0000_t75" style="width:9.2pt;height:17.6pt" o:ole="">
                  <v:imagedata r:id="rId4" o:title=""/>
                </v:shape>
                <o:OLEObject Type="Embed" ProgID="CorelEquation" ShapeID="_x0000_i1028" DrawAspect="Content" ObjectID="_1617527045" r:id="rId9"/>
              </w:object>
            </w:r>
          </w:p>
          <w:p w14:paraId="1C2D9CCA" w14:textId="77777777" w:rsidR="0083458A" w:rsidRDefault="00AE740D">
            <w:pPr>
              <w:jc w:val="center"/>
            </w:pPr>
            <w:r>
              <w:t>(cm)</w:t>
            </w:r>
          </w:p>
        </w:tc>
        <w:tc>
          <w:tcPr>
            <w:tcW w:w="682" w:type="dxa"/>
          </w:tcPr>
          <w:p w14:paraId="1CE4B917" w14:textId="77777777" w:rsidR="0083458A" w:rsidRDefault="00AE740D">
            <w:pPr>
              <w:jc w:val="center"/>
            </w:pPr>
            <w:r>
              <w:t>0,5</w:t>
            </w:r>
          </w:p>
        </w:tc>
        <w:tc>
          <w:tcPr>
            <w:tcW w:w="682" w:type="dxa"/>
          </w:tcPr>
          <w:p w14:paraId="0D9D7AAE" w14:textId="77777777" w:rsidR="0083458A" w:rsidRDefault="00AE740D">
            <w:pPr>
              <w:jc w:val="center"/>
            </w:pPr>
            <w:r>
              <w:t>1,5</w:t>
            </w:r>
          </w:p>
        </w:tc>
        <w:tc>
          <w:tcPr>
            <w:tcW w:w="682" w:type="dxa"/>
          </w:tcPr>
          <w:p w14:paraId="6D781816" w14:textId="77777777" w:rsidR="0083458A" w:rsidRDefault="00AE740D">
            <w:pPr>
              <w:jc w:val="center"/>
            </w:pPr>
            <w:r>
              <w:t>2</w:t>
            </w:r>
          </w:p>
        </w:tc>
        <w:tc>
          <w:tcPr>
            <w:tcW w:w="682" w:type="dxa"/>
          </w:tcPr>
          <w:p w14:paraId="3340EAA5" w14:textId="77777777" w:rsidR="0083458A" w:rsidRDefault="00AE740D">
            <w:pPr>
              <w:jc w:val="center"/>
            </w:pPr>
            <w:r>
              <w:t>3</w:t>
            </w:r>
          </w:p>
        </w:tc>
        <w:tc>
          <w:tcPr>
            <w:tcW w:w="682" w:type="dxa"/>
          </w:tcPr>
          <w:p w14:paraId="5C769016" w14:textId="77777777" w:rsidR="0083458A" w:rsidRDefault="00AE740D">
            <w:pPr>
              <w:jc w:val="center"/>
            </w:pPr>
            <w:r>
              <w:t>6</w:t>
            </w:r>
          </w:p>
        </w:tc>
        <w:tc>
          <w:tcPr>
            <w:tcW w:w="502" w:type="dxa"/>
          </w:tcPr>
          <w:p w14:paraId="4B827528" w14:textId="77777777" w:rsidR="0083458A" w:rsidRDefault="00AE740D">
            <w:pPr>
              <w:jc w:val="center"/>
            </w:pPr>
            <w:r>
              <w:t>5</w:t>
            </w:r>
          </w:p>
        </w:tc>
        <w:tc>
          <w:tcPr>
            <w:tcW w:w="682" w:type="dxa"/>
          </w:tcPr>
          <w:p w14:paraId="66D55F36" w14:textId="77777777" w:rsidR="0083458A" w:rsidRDefault="00AE740D">
            <w:pPr>
              <w:jc w:val="center"/>
            </w:pPr>
            <w:r>
              <w:t>3,5</w:t>
            </w:r>
          </w:p>
        </w:tc>
        <w:tc>
          <w:tcPr>
            <w:tcW w:w="682" w:type="dxa"/>
          </w:tcPr>
          <w:p w14:paraId="22B29919" w14:textId="77777777" w:rsidR="0083458A" w:rsidRDefault="00AE740D">
            <w:pPr>
              <w:jc w:val="center"/>
            </w:pPr>
            <w:r>
              <w:t>3</w:t>
            </w:r>
          </w:p>
        </w:tc>
        <w:tc>
          <w:tcPr>
            <w:tcW w:w="682" w:type="dxa"/>
          </w:tcPr>
          <w:p w14:paraId="38A81EF0" w14:textId="77777777" w:rsidR="0083458A" w:rsidRDefault="00AE740D">
            <w:pPr>
              <w:jc w:val="center"/>
            </w:pPr>
            <w:r>
              <w:t>2,5</w:t>
            </w:r>
          </w:p>
        </w:tc>
        <w:tc>
          <w:tcPr>
            <w:tcW w:w="682" w:type="dxa"/>
          </w:tcPr>
          <w:p w14:paraId="24B7A246" w14:textId="77777777" w:rsidR="0083458A" w:rsidRDefault="00AE740D">
            <w:pPr>
              <w:jc w:val="center"/>
            </w:pPr>
            <w:r>
              <w:t>1,5</w:t>
            </w:r>
          </w:p>
        </w:tc>
        <w:tc>
          <w:tcPr>
            <w:tcW w:w="682" w:type="dxa"/>
          </w:tcPr>
          <w:p w14:paraId="33D91D0A" w14:textId="77777777" w:rsidR="0083458A" w:rsidRDefault="00AE740D">
            <w:pPr>
              <w:jc w:val="center"/>
            </w:pPr>
            <w:r>
              <w:t>1</w:t>
            </w:r>
          </w:p>
        </w:tc>
        <w:tc>
          <w:tcPr>
            <w:tcW w:w="682" w:type="dxa"/>
          </w:tcPr>
          <w:p w14:paraId="2B3BD8A8" w14:textId="77777777" w:rsidR="0083458A" w:rsidRDefault="00AE740D">
            <w:pPr>
              <w:jc w:val="center"/>
            </w:pPr>
            <w:r>
              <w:t>0,8</w:t>
            </w:r>
          </w:p>
        </w:tc>
      </w:tr>
      <w:tr w:rsidR="0083458A" w14:paraId="590944B5" w14:textId="77777777">
        <w:trPr>
          <w:trHeight w:val="420"/>
        </w:trPr>
        <w:tc>
          <w:tcPr>
            <w:tcW w:w="822" w:type="dxa"/>
          </w:tcPr>
          <w:p w14:paraId="654B8333" w14:textId="77777777" w:rsidR="0083458A" w:rsidRDefault="00AE740D">
            <w:pPr>
              <w:jc w:val="center"/>
            </w:pPr>
            <w:r>
              <w:t>t</w:t>
            </w:r>
            <w:r>
              <w:object w:dxaOrig="173" w:dyaOrig="340" w14:anchorId="249E687D">
                <v:shape id="_x0000_i1029" type="#_x0000_t75" style="width:9.2pt;height:17.6pt" o:ole="">
                  <v:imagedata r:id="rId4" o:title=""/>
                </v:shape>
                <o:OLEObject Type="Embed" ProgID="CorelEquation" ShapeID="_x0000_i1029" DrawAspect="Content" ObjectID="_1617527046" r:id="rId10"/>
              </w:object>
            </w:r>
          </w:p>
          <w:p w14:paraId="1CF52567" w14:textId="77777777" w:rsidR="0083458A" w:rsidRDefault="00AE740D">
            <w:pPr>
              <w:jc w:val="center"/>
            </w:pPr>
            <w:r>
              <w:t>(s)</w:t>
            </w:r>
          </w:p>
        </w:tc>
        <w:tc>
          <w:tcPr>
            <w:tcW w:w="682" w:type="dxa"/>
          </w:tcPr>
          <w:p w14:paraId="03A8AD26" w14:textId="77777777" w:rsidR="0083458A" w:rsidRDefault="00AE740D">
            <w:pPr>
              <w:jc w:val="center"/>
            </w:pPr>
            <w:r>
              <w:t>1,42</w:t>
            </w:r>
          </w:p>
        </w:tc>
        <w:tc>
          <w:tcPr>
            <w:tcW w:w="682" w:type="dxa"/>
          </w:tcPr>
          <w:p w14:paraId="79073E47" w14:textId="77777777" w:rsidR="0083458A" w:rsidRDefault="00AE740D">
            <w:pPr>
              <w:jc w:val="center"/>
            </w:pPr>
            <w:r>
              <w:t>1,34</w:t>
            </w:r>
          </w:p>
        </w:tc>
        <w:tc>
          <w:tcPr>
            <w:tcW w:w="682" w:type="dxa"/>
          </w:tcPr>
          <w:p w14:paraId="25ED21D4" w14:textId="77777777" w:rsidR="0083458A" w:rsidRDefault="00AE740D">
            <w:pPr>
              <w:jc w:val="center"/>
            </w:pPr>
            <w:r>
              <w:t>1,27</w:t>
            </w:r>
          </w:p>
        </w:tc>
        <w:tc>
          <w:tcPr>
            <w:tcW w:w="682" w:type="dxa"/>
          </w:tcPr>
          <w:p w14:paraId="15379B8F" w14:textId="77777777" w:rsidR="0083458A" w:rsidRDefault="00AE740D">
            <w:pPr>
              <w:jc w:val="center"/>
            </w:pPr>
            <w:r>
              <w:t>1,19</w:t>
            </w:r>
          </w:p>
        </w:tc>
        <w:tc>
          <w:tcPr>
            <w:tcW w:w="682" w:type="dxa"/>
          </w:tcPr>
          <w:p w14:paraId="115772C0" w14:textId="77777777" w:rsidR="0083458A" w:rsidRDefault="00AE740D">
            <w:pPr>
              <w:jc w:val="center"/>
            </w:pPr>
            <w:r>
              <w:t>1,1</w:t>
            </w:r>
          </w:p>
        </w:tc>
        <w:tc>
          <w:tcPr>
            <w:tcW w:w="502" w:type="dxa"/>
          </w:tcPr>
          <w:p w14:paraId="62D9F342" w14:textId="77777777" w:rsidR="0083458A" w:rsidRDefault="00AE740D">
            <w:pPr>
              <w:jc w:val="center"/>
            </w:pPr>
            <w:r>
              <w:t>1</w:t>
            </w:r>
          </w:p>
        </w:tc>
        <w:tc>
          <w:tcPr>
            <w:tcW w:w="682" w:type="dxa"/>
          </w:tcPr>
          <w:p w14:paraId="5E561E11" w14:textId="77777777" w:rsidR="0083458A" w:rsidRDefault="00AE740D">
            <w:pPr>
              <w:jc w:val="center"/>
            </w:pPr>
            <w:r>
              <w:t>0,94</w:t>
            </w:r>
          </w:p>
        </w:tc>
        <w:tc>
          <w:tcPr>
            <w:tcW w:w="682" w:type="dxa"/>
          </w:tcPr>
          <w:p w14:paraId="28CC4C04" w14:textId="77777777" w:rsidR="0083458A" w:rsidRDefault="00AE740D">
            <w:pPr>
              <w:jc w:val="center"/>
            </w:pPr>
            <w:r>
              <w:t>0,89</w:t>
            </w:r>
          </w:p>
        </w:tc>
        <w:tc>
          <w:tcPr>
            <w:tcW w:w="682" w:type="dxa"/>
          </w:tcPr>
          <w:p w14:paraId="408D0720" w14:textId="77777777" w:rsidR="0083458A" w:rsidRDefault="00AE740D">
            <w:pPr>
              <w:jc w:val="center"/>
            </w:pPr>
            <w:r>
              <w:t>0,85</w:t>
            </w:r>
          </w:p>
        </w:tc>
        <w:tc>
          <w:tcPr>
            <w:tcW w:w="682" w:type="dxa"/>
          </w:tcPr>
          <w:p w14:paraId="7D573003" w14:textId="77777777" w:rsidR="0083458A" w:rsidRDefault="00AE740D">
            <w:pPr>
              <w:jc w:val="center"/>
            </w:pPr>
            <w:r>
              <w:t>0,77</w:t>
            </w:r>
          </w:p>
        </w:tc>
        <w:tc>
          <w:tcPr>
            <w:tcW w:w="682" w:type="dxa"/>
          </w:tcPr>
          <w:p w14:paraId="14D9D7AE" w14:textId="77777777" w:rsidR="0083458A" w:rsidRDefault="00AE740D">
            <w:pPr>
              <w:jc w:val="center"/>
            </w:pPr>
            <w:r>
              <w:t>0,69</w:t>
            </w:r>
          </w:p>
        </w:tc>
        <w:tc>
          <w:tcPr>
            <w:tcW w:w="682" w:type="dxa"/>
          </w:tcPr>
          <w:p w14:paraId="0433F9F8" w14:textId="77777777" w:rsidR="0083458A" w:rsidRDefault="00AE740D">
            <w:pPr>
              <w:jc w:val="center"/>
            </w:pPr>
            <w:r>
              <w:t>0,63</w:t>
            </w:r>
          </w:p>
        </w:tc>
      </w:tr>
      <w:tr w:rsidR="0083458A" w14:paraId="41A8DED9" w14:textId="77777777">
        <w:trPr>
          <w:trHeight w:val="420"/>
        </w:trPr>
        <w:tc>
          <w:tcPr>
            <w:tcW w:w="822" w:type="dxa"/>
          </w:tcPr>
          <w:p w14:paraId="539DB4A3" w14:textId="77777777" w:rsidR="0083458A" w:rsidRDefault="00AE740D">
            <w:pPr>
              <w:jc w:val="center"/>
            </w:pPr>
            <w:r>
              <w:lastRenderedPageBreak/>
              <w:sym w:font="Symbol" w:char="F06E"/>
            </w:r>
          </w:p>
          <w:p w14:paraId="6427A5BB" w14:textId="77777777" w:rsidR="0083458A" w:rsidRDefault="00AE740D">
            <w:pPr>
              <w:jc w:val="center"/>
            </w:pPr>
            <w:r>
              <w:t>(s)</w:t>
            </w:r>
          </w:p>
        </w:tc>
        <w:tc>
          <w:tcPr>
            <w:tcW w:w="682" w:type="dxa"/>
          </w:tcPr>
          <w:p w14:paraId="600DF2F0" w14:textId="77777777" w:rsidR="0083458A" w:rsidRDefault="00AE740D">
            <w:pPr>
              <w:jc w:val="center"/>
            </w:pPr>
            <w:r>
              <w:t>0,7</w:t>
            </w:r>
          </w:p>
        </w:tc>
        <w:tc>
          <w:tcPr>
            <w:tcW w:w="682" w:type="dxa"/>
          </w:tcPr>
          <w:p w14:paraId="122DD2A2" w14:textId="77777777" w:rsidR="0083458A" w:rsidRDefault="00AE740D">
            <w:pPr>
              <w:jc w:val="center"/>
            </w:pPr>
            <w:r>
              <w:t>0,74</w:t>
            </w:r>
          </w:p>
        </w:tc>
        <w:tc>
          <w:tcPr>
            <w:tcW w:w="682" w:type="dxa"/>
          </w:tcPr>
          <w:p w14:paraId="02F6447B" w14:textId="77777777" w:rsidR="0083458A" w:rsidRDefault="00AE740D">
            <w:pPr>
              <w:jc w:val="center"/>
            </w:pPr>
            <w:r>
              <w:t>0,78</w:t>
            </w:r>
          </w:p>
        </w:tc>
        <w:tc>
          <w:tcPr>
            <w:tcW w:w="682" w:type="dxa"/>
          </w:tcPr>
          <w:p w14:paraId="3CADDBEE" w14:textId="77777777" w:rsidR="0083458A" w:rsidRDefault="00AE740D">
            <w:pPr>
              <w:jc w:val="center"/>
            </w:pPr>
            <w:r>
              <w:t>0,84</w:t>
            </w:r>
          </w:p>
        </w:tc>
        <w:tc>
          <w:tcPr>
            <w:tcW w:w="682" w:type="dxa"/>
          </w:tcPr>
          <w:p w14:paraId="74DB0A9C" w14:textId="77777777" w:rsidR="0083458A" w:rsidRDefault="00AE740D">
            <w:pPr>
              <w:jc w:val="center"/>
            </w:pPr>
            <w:r>
              <w:t>0,91</w:t>
            </w:r>
          </w:p>
        </w:tc>
        <w:tc>
          <w:tcPr>
            <w:tcW w:w="502" w:type="dxa"/>
          </w:tcPr>
          <w:p w14:paraId="1232E8A7" w14:textId="77777777" w:rsidR="0083458A" w:rsidRDefault="00AE740D">
            <w:pPr>
              <w:jc w:val="center"/>
            </w:pPr>
            <w:r>
              <w:t>1</w:t>
            </w:r>
          </w:p>
        </w:tc>
        <w:tc>
          <w:tcPr>
            <w:tcW w:w="682" w:type="dxa"/>
          </w:tcPr>
          <w:p w14:paraId="46140A63" w14:textId="77777777" w:rsidR="0083458A" w:rsidRDefault="00AE740D">
            <w:pPr>
              <w:jc w:val="center"/>
            </w:pPr>
            <w:r>
              <w:t>1,06</w:t>
            </w:r>
          </w:p>
        </w:tc>
        <w:tc>
          <w:tcPr>
            <w:tcW w:w="682" w:type="dxa"/>
          </w:tcPr>
          <w:p w14:paraId="09DF48E4" w14:textId="77777777" w:rsidR="0083458A" w:rsidRDefault="00AE740D">
            <w:pPr>
              <w:jc w:val="center"/>
            </w:pPr>
            <w:r>
              <w:t>1,12</w:t>
            </w:r>
          </w:p>
        </w:tc>
        <w:tc>
          <w:tcPr>
            <w:tcW w:w="682" w:type="dxa"/>
          </w:tcPr>
          <w:p w14:paraId="55FC0CE6" w14:textId="77777777" w:rsidR="0083458A" w:rsidRDefault="00AE740D">
            <w:pPr>
              <w:jc w:val="center"/>
            </w:pPr>
            <w:r>
              <w:t>1,18</w:t>
            </w:r>
          </w:p>
        </w:tc>
        <w:tc>
          <w:tcPr>
            <w:tcW w:w="682" w:type="dxa"/>
          </w:tcPr>
          <w:p w14:paraId="4187A4A1" w14:textId="77777777" w:rsidR="0083458A" w:rsidRDefault="00AE740D">
            <w:pPr>
              <w:jc w:val="center"/>
            </w:pPr>
            <w:r>
              <w:t>1,3</w:t>
            </w:r>
          </w:p>
        </w:tc>
        <w:tc>
          <w:tcPr>
            <w:tcW w:w="682" w:type="dxa"/>
          </w:tcPr>
          <w:p w14:paraId="0BC37C7F" w14:textId="77777777" w:rsidR="0083458A" w:rsidRDefault="00AE740D">
            <w:pPr>
              <w:jc w:val="center"/>
            </w:pPr>
            <w:r>
              <w:t>1,45</w:t>
            </w:r>
          </w:p>
        </w:tc>
        <w:tc>
          <w:tcPr>
            <w:tcW w:w="682" w:type="dxa"/>
          </w:tcPr>
          <w:p w14:paraId="658BDCF7" w14:textId="77777777" w:rsidR="0083458A" w:rsidRDefault="00AE740D">
            <w:pPr>
              <w:jc w:val="center"/>
            </w:pPr>
            <w:r>
              <w:t>1,59</w:t>
            </w:r>
          </w:p>
        </w:tc>
      </w:tr>
    </w:tbl>
    <w:p w14:paraId="067A12FC" w14:textId="77777777" w:rsidR="0083458A" w:rsidRDefault="0083458A">
      <w:pPr>
        <w:jc w:val="both"/>
        <w:rPr>
          <w:b/>
        </w:rPr>
      </w:pPr>
    </w:p>
    <w:p w14:paraId="14371375" w14:textId="77777777" w:rsidR="0083458A" w:rsidRDefault="0083458A">
      <w:pPr>
        <w:jc w:val="both"/>
        <w:rPr>
          <w:b/>
        </w:rPr>
      </w:pPr>
    </w:p>
    <w:p w14:paraId="1FF2350A" w14:textId="77777777" w:rsidR="0083458A" w:rsidRDefault="00AE740D">
      <w:pPr>
        <w:jc w:val="both"/>
      </w:pPr>
      <w:r>
        <w:rPr>
          <w:b/>
        </w:rPr>
        <w:t>6.0 REZULTATI</w:t>
      </w:r>
      <w:r>
        <w:t>:</w:t>
      </w:r>
    </w:p>
    <w:p w14:paraId="29E989B1" w14:textId="77777777" w:rsidR="0083458A" w:rsidRDefault="00AE740D">
      <w:pPr>
        <w:jc w:val="both"/>
      </w:pPr>
      <w:r>
        <w:object w:dxaOrig="9176" w:dyaOrig="5544" w14:anchorId="6C1B46FE">
          <v:shape id="_x0000_i1030" type="#_x0000_t75" style="width:458.8pt;height:277.1pt" o:ole="">
            <v:imagedata r:id="rId11" o:title=""/>
          </v:shape>
          <o:OLEObject Type="Embed" ProgID="Excel.Chart.8" ShapeID="_x0000_i1030" DrawAspect="Content" ObjectID="_1617527047" r:id="rId12">
            <o:FieldCodes>\s</o:FieldCodes>
          </o:OLEObject>
        </w:object>
      </w:r>
      <w:r>
        <w:object w:dxaOrig="9280" w:dyaOrig="5720" w14:anchorId="6D7F7854">
          <v:shape id="_x0000_i1031" type="#_x0000_t75" style="width:464.65pt;height:285.5pt" o:ole="">
            <v:imagedata r:id="rId13" o:title=""/>
          </v:shape>
          <o:OLEObject Type="Embed" ProgID="Excel.Chart.8" ShapeID="_x0000_i1031" DrawAspect="Content" ObjectID="_1617527048" r:id="rId14">
            <o:FieldCodes>\s</o:FieldCodes>
          </o:OLEObject>
        </w:object>
      </w:r>
    </w:p>
    <w:p w14:paraId="7F540298" w14:textId="77777777" w:rsidR="0083458A" w:rsidRDefault="00AE740D">
      <w:pPr>
        <w:jc w:val="both"/>
      </w:pPr>
      <w:r>
        <w:t xml:space="preserve">V prvem grafu sem dobil dokaj lepo resonančno krivuljo za matematično nihalo. Glede na graf bi morala biti lastna frekvenca matematičnega nihala pri 0,93 Hz. Ker pa je nihanje vsaj malo dušeno, je torej lastna frekvenca tega nihala okoli 1 Hz. </w:t>
      </w:r>
    </w:p>
    <w:p w14:paraId="54F4835E" w14:textId="77777777" w:rsidR="0083458A" w:rsidRDefault="0083458A">
      <w:pPr>
        <w:jc w:val="both"/>
      </w:pPr>
    </w:p>
    <w:p w14:paraId="43609A9E" w14:textId="77777777" w:rsidR="0083458A" w:rsidRDefault="0083458A">
      <w:pPr>
        <w:jc w:val="both"/>
        <w:rPr>
          <w:b/>
        </w:rPr>
      </w:pPr>
    </w:p>
    <w:p w14:paraId="6C1887B2" w14:textId="77777777" w:rsidR="0083458A" w:rsidRDefault="0083458A">
      <w:pPr>
        <w:jc w:val="both"/>
        <w:rPr>
          <w:b/>
        </w:rPr>
      </w:pPr>
    </w:p>
    <w:p w14:paraId="041AB1E0" w14:textId="77777777" w:rsidR="0083458A" w:rsidRDefault="0083458A">
      <w:pPr>
        <w:jc w:val="both"/>
        <w:rPr>
          <w:b/>
        </w:rPr>
      </w:pPr>
    </w:p>
    <w:p w14:paraId="0F269BBF" w14:textId="77777777" w:rsidR="0083458A" w:rsidRDefault="0083458A">
      <w:pPr>
        <w:jc w:val="both"/>
        <w:rPr>
          <w:b/>
        </w:rPr>
      </w:pPr>
    </w:p>
    <w:p w14:paraId="573198CC" w14:textId="77777777" w:rsidR="0083458A" w:rsidRDefault="00AE740D">
      <w:pPr>
        <w:jc w:val="both"/>
        <w:rPr>
          <w:b/>
        </w:rPr>
      </w:pPr>
      <w:r>
        <w:rPr>
          <w:b/>
        </w:rPr>
        <w:t>7.0 KOMENTAR</w:t>
      </w:r>
    </w:p>
    <w:p w14:paraId="24BF9C9B" w14:textId="77777777" w:rsidR="0083458A" w:rsidRDefault="00AE740D">
      <w:pPr>
        <w:jc w:val="both"/>
      </w:pPr>
      <w:r>
        <w:t xml:space="preserve">Dodal sem še en graf - graf odvisnosti amplitude nihala, ki mu vsiljujemo nihanje od dolžine nihala, s katerim nihanje vsiljujemo. Dobili smo krivuljo, ki se imenuje po nemškem matematiku Carlu Friedrichu Gaussu (1777-1855) - </w:t>
      </w:r>
      <w:r>
        <w:rPr>
          <w:i/>
        </w:rPr>
        <w:t xml:space="preserve">Gaussovo krivuljo. </w:t>
      </w:r>
      <w:r>
        <w:t>Le-ta je sicer namenjena porazdelitvi pogreškov, vendar so vse podobne krivulje prevzele to ime.</w:t>
      </w:r>
    </w:p>
    <w:p w14:paraId="65E7BF9F" w14:textId="77777777" w:rsidR="0083458A" w:rsidRDefault="00AE740D">
      <w:pPr>
        <w:jc w:val="both"/>
      </w:pPr>
      <w:r>
        <w:t xml:space="preserve">Še nekaj o resonanci. To je pojav, da niha sistem z največjo amplitudo, ko mo vsiljujemo nihanje z njegovo lastno frekvenco. Amplituda v resonanci je tem večja, čim manjši je koeficient dušenja. Resonanca je pogosto nezaželena, saj lahko privede do razrušitve, največkrat pa jo izkoriščamo , npr., da dobimo nedušeno nihanje ali v merilne namene. </w:t>
      </w:r>
    </w:p>
    <w:p w14:paraId="06AF2463" w14:textId="77777777" w:rsidR="0083458A" w:rsidRDefault="00AE740D">
      <w:pPr>
        <w:jc w:val="both"/>
      </w:pPr>
      <w:r>
        <w:t>Drugače pa je sama vaja potekala brez problemov. Odstopanja so možna, saj se je lesena ploščica, ki je “povezovala” obe nihali, premikala, tako, da amplitude niso popolnoma natančne. Pri merjenju le-teh so lahko nastala manjša odstopanja, saj smo morali odčitati hitro, ker je nihalo nihalo precej hitro in ne povsem enakomerno, sicer pa odstopanja niso kritično velika.</w:t>
      </w:r>
    </w:p>
    <w:p w14:paraId="0813937B" w14:textId="77777777" w:rsidR="0083458A" w:rsidRDefault="0083458A">
      <w:pPr>
        <w:jc w:val="both"/>
      </w:pPr>
    </w:p>
    <w:p w14:paraId="720D7AEC" w14:textId="77777777" w:rsidR="0083458A" w:rsidRDefault="00AE740D">
      <w:pPr>
        <w:jc w:val="both"/>
        <w:rPr>
          <w:b/>
        </w:rPr>
      </w:pPr>
      <w:r>
        <w:rPr>
          <w:b/>
        </w:rPr>
        <w:t>8.0 VIRI</w:t>
      </w:r>
    </w:p>
    <w:p w14:paraId="0A319424" w14:textId="77777777" w:rsidR="0083458A" w:rsidRDefault="00AE740D">
      <w:pPr>
        <w:jc w:val="both"/>
      </w:pPr>
      <w:r>
        <w:t>- list z navodili za vajo</w:t>
      </w:r>
    </w:p>
    <w:p w14:paraId="2B0CEBD7" w14:textId="77777777" w:rsidR="0083458A" w:rsidRDefault="00AE740D">
      <w:pPr>
        <w:jc w:val="both"/>
      </w:pPr>
      <w:r>
        <w:t>-: Leksikoni Cankarjeve založbe - FIZIKA, Cankarjeva založba 1985, str. 197</w:t>
      </w:r>
    </w:p>
    <w:p w14:paraId="29C06AE1" w14:textId="77777777" w:rsidR="0083458A" w:rsidRDefault="00AE740D">
      <w:pPr>
        <w:jc w:val="both"/>
      </w:pPr>
      <w:r>
        <w:t>R. Kladnik, H. Šolnic: Univerza v Ljubljani, FAGG: Zbirka fizikalnih problemov z rešitvemi, 1. del, Mehanika, toplota, akustika, Ljubljana 1972, str. 203-208</w:t>
      </w:r>
    </w:p>
    <w:p w14:paraId="55D0F00F" w14:textId="77777777" w:rsidR="0083458A" w:rsidRDefault="00AE740D">
      <w:pPr>
        <w:jc w:val="both"/>
      </w:pPr>
      <w:r>
        <w:t>Bronštejn, Semendjajev: Matematični priročnik, TZS 1970, str. 101-103</w:t>
      </w:r>
    </w:p>
    <w:p w14:paraId="4B9663BD" w14:textId="77777777" w:rsidR="0083458A" w:rsidRDefault="00AE740D">
      <w:pPr>
        <w:jc w:val="both"/>
      </w:pPr>
      <w:r>
        <w:t>Microsoft Encarta ‘95, Science &amp;Technology, Mathematichs, Gauss</w:t>
      </w:r>
    </w:p>
    <w:sectPr w:rsidR="0083458A">
      <w:pgSz w:w="11907" w:h="16840"/>
      <w:pgMar w:top="1304" w:right="1304" w:bottom="1304" w:left="130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740D"/>
    <w:rsid w:val="006D5A0D"/>
    <w:rsid w:val="0083458A"/>
    <w:rsid w:val="008B1856"/>
    <w:rsid w:val="00986562"/>
    <w:rsid w:val="00A26963"/>
    <w:rsid w:val="00AE740D"/>
    <w:rsid w:val="00F21B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5BC9E1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image" Target="media/image4.wmf"/><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oleObject" Target="embeddings/oleObject6.bin"/><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2.bin"/><Relationship Id="rId11" Type="http://schemas.openxmlformats.org/officeDocument/2006/relationships/image" Target="media/image3.wmf"/><Relationship Id="rId5" Type="http://schemas.openxmlformats.org/officeDocument/2006/relationships/oleObject" Target="embeddings/oleObject1.bin"/><Relationship Id="rId15" Type="http://schemas.openxmlformats.org/officeDocument/2006/relationships/fontTable" Target="fontTable.xml"/><Relationship Id="rId10" Type="http://schemas.openxmlformats.org/officeDocument/2006/relationships/oleObject" Target="embeddings/oleObject5.bin"/><Relationship Id="rId4" Type="http://schemas.openxmlformats.org/officeDocument/2006/relationships/image" Target="media/image1.wmf"/><Relationship Id="rId9" Type="http://schemas.openxmlformats.org/officeDocument/2006/relationships/oleObject" Target="embeddings/oleObject4.bin"/><Relationship Id="rId14"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600</Words>
  <Characters>3425</Characters>
  <Application>Microsoft Office Word</Application>
  <DocSecurity>0</DocSecurity>
  <Lines>28</Lines>
  <Paragraphs>8</Paragraphs>
  <ScaleCrop>false</ScaleCrop>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2019-04-23T08:50:00Z</dcterms:created>
  <dcterms:modified xsi:type="dcterms:W3CDTF">2019-04-23T08:50:00Z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