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24FA" w14:textId="6D4A6185" w:rsidR="00A340B5" w:rsidRDefault="00A340B5" w:rsidP="00C52084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3663FB">
        <w:rPr>
          <w:rFonts w:ascii="Comic Sans MS" w:hAnsi="Comic Sans MS"/>
          <w:b/>
          <w:sz w:val="28"/>
          <w:szCs w:val="28"/>
        </w:rPr>
        <w:t xml:space="preserve">EVROPSKA UNIJA IN </w:t>
      </w:r>
      <w:r w:rsidR="00C52084" w:rsidRPr="003663FB">
        <w:rPr>
          <w:rFonts w:ascii="Comic Sans MS" w:hAnsi="Comic Sans MS"/>
          <w:b/>
          <w:sz w:val="28"/>
          <w:szCs w:val="28"/>
        </w:rPr>
        <w:t>SVET EVROPSKE UNIJE</w:t>
      </w:r>
    </w:p>
    <w:p w14:paraId="598C2AEB" w14:textId="77777777" w:rsidR="0000481A" w:rsidRPr="003663FB" w:rsidRDefault="0000481A" w:rsidP="00C52084">
      <w:pPr>
        <w:jc w:val="center"/>
        <w:rPr>
          <w:rFonts w:ascii="Comic Sans MS" w:hAnsi="Comic Sans MS"/>
          <w:b/>
          <w:sz w:val="28"/>
          <w:szCs w:val="28"/>
        </w:rPr>
      </w:pPr>
    </w:p>
    <w:p w14:paraId="399479CA" w14:textId="77777777" w:rsidR="00A340B5" w:rsidRDefault="003B753C" w:rsidP="003663FB">
      <w:pPr>
        <w:jc w:val="center"/>
      </w:pPr>
      <w:r>
        <w:pict w14:anchorId="4B766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95pt;height:46.2pt">
            <v:imagedata r:id="rId5" o:title="eu-zastava"/>
          </v:shape>
        </w:pict>
      </w:r>
    </w:p>
    <w:p w14:paraId="1011149A" w14:textId="77777777" w:rsidR="00A340B5" w:rsidRPr="00A340B5" w:rsidRDefault="00A340B5">
      <w:pPr>
        <w:rPr>
          <w:color w:val="000000"/>
        </w:rPr>
      </w:pPr>
    </w:p>
    <w:p w14:paraId="7A4FFFBB" w14:textId="77777777" w:rsidR="00A340B5" w:rsidRDefault="00A340B5">
      <w:pPr>
        <w:rPr>
          <w:color w:val="000000"/>
        </w:rPr>
      </w:pPr>
      <w:r w:rsidRPr="00A340B5">
        <w:rPr>
          <w:b/>
          <w:bCs/>
          <w:color w:val="000000"/>
        </w:rPr>
        <w:t>Evrópska uníja</w:t>
      </w:r>
      <w:r w:rsidRPr="00A340B5">
        <w:rPr>
          <w:color w:val="000000"/>
        </w:rPr>
        <w:t xml:space="preserve"> (tudi </w:t>
      </w:r>
      <w:r w:rsidRPr="00A340B5">
        <w:rPr>
          <w:b/>
          <w:bCs/>
          <w:color w:val="000000"/>
        </w:rPr>
        <w:t>evrópska únija</w:t>
      </w:r>
      <w:r w:rsidRPr="00A340B5">
        <w:rPr>
          <w:color w:val="000000"/>
        </w:rPr>
        <w:t>) (uporablja se kratica EU) je mednarodna organizacija</w:t>
      </w:r>
      <w:r>
        <w:rPr>
          <w:color w:val="000000"/>
        </w:rPr>
        <w:t xml:space="preserve"> </w:t>
      </w:r>
      <w:r w:rsidRPr="00A340B5">
        <w:rPr>
          <w:color w:val="000000"/>
        </w:rPr>
        <w:t xml:space="preserve">evropskih držav, ustanovljena leta 1993 s </w:t>
      </w:r>
      <w:r w:rsidRPr="00A340B5">
        <w:rPr>
          <w:i/>
          <w:iCs/>
          <w:color w:val="000000"/>
        </w:rPr>
        <w:t>Pogodbo o Evropski uniji</w:t>
      </w:r>
      <w:r w:rsidRPr="00A340B5">
        <w:rPr>
          <w:color w:val="000000"/>
        </w:rPr>
        <w:t xml:space="preserve"> (Maastrichtsko pogodbo).</w:t>
      </w:r>
    </w:p>
    <w:p w14:paraId="6A129414" w14:textId="77777777" w:rsidR="00A340B5" w:rsidRDefault="00A340B5">
      <w:pPr>
        <w:rPr>
          <w:color w:val="000000"/>
        </w:rPr>
      </w:pPr>
      <w:r>
        <w:rPr>
          <w:color w:val="000000"/>
        </w:rPr>
        <w:t>Struktura Evropske unije:</w:t>
      </w:r>
    </w:p>
    <w:p w14:paraId="65C7B9E0" w14:textId="77777777" w:rsidR="00A340B5" w:rsidRDefault="00A340B5">
      <w:pPr>
        <w:rPr>
          <w:color w:val="000000"/>
        </w:rPr>
      </w:pPr>
      <w:r>
        <w:rPr>
          <w:color w:val="000000"/>
        </w:rPr>
        <w:t>Zajema 3 stebre:</w:t>
      </w:r>
    </w:p>
    <w:p w14:paraId="3A32B4D2" w14:textId="77777777" w:rsidR="00A340B5" w:rsidRDefault="00A340B5" w:rsidP="00A340B5">
      <w:pPr>
        <w:numPr>
          <w:ilvl w:val="0"/>
          <w:numId w:val="1"/>
        </w:numPr>
        <w:rPr>
          <w:color w:val="000000"/>
        </w:rPr>
      </w:pPr>
      <w:r w:rsidRPr="00A340B5">
        <w:rPr>
          <w:color w:val="000000"/>
        </w:rPr>
        <w:t xml:space="preserve"> evropske skupnosti, ki jih sestavljajo Evropska skupnost za premog in jeklo, Evropska skupnost, ki se je pred Pogodbo o Evropski uniji (PEU) imenovala Evropska gospodarska skupnost in Evropska skupnost za jedrsko energijo</w:t>
      </w:r>
    </w:p>
    <w:p w14:paraId="464FAC16" w14:textId="77777777" w:rsidR="00A340B5" w:rsidRPr="00A340B5" w:rsidRDefault="00A340B5" w:rsidP="00A340B5">
      <w:pPr>
        <w:numPr>
          <w:ilvl w:val="0"/>
          <w:numId w:val="1"/>
        </w:numPr>
        <w:rPr>
          <w:color w:val="000000"/>
        </w:rPr>
      </w:pPr>
      <w:r>
        <w:t>skupna zunanja in varnostna politika (SZVP)</w:t>
      </w:r>
    </w:p>
    <w:p w14:paraId="7989B2FD" w14:textId="77777777" w:rsidR="00A340B5" w:rsidRPr="00A340B5" w:rsidRDefault="00A340B5" w:rsidP="00A340B5">
      <w:pPr>
        <w:numPr>
          <w:ilvl w:val="0"/>
          <w:numId w:val="1"/>
        </w:numPr>
        <w:rPr>
          <w:color w:val="000000"/>
        </w:rPr>
      </w:pPr>
      <w:r>
        <w:t>sodelovanje na področju pravosodja in notranjih zadev</w:t>
      </w:r>
    </w:p>
    <w:p w14:paraId="32A47C70" w14:textId="77777777" w:rsidR="00A340B5" w:rsidRDefault="00A340B5" w:rsidP="00A340B5"/>
    <w:p w14:paraId="6B469726" w14:textId="77777777" w:rsidR="00A340B5" w:rsidRPr="00271679" w:rsidRDefault="00A340B5" w:rsidP="00A340B5">
      <w:pPr>
        <w:rPr>
          <w:b/>
          <w:u w:val="single"/>
        </w:rPr>
      </w:pPr>
      <w:r w:rsidRPr="00271679">
        <w:rPr>
          <w:b/>
          <w:u w:val="single"/>
        </w:rPr>
        <w:t>Prvi koraki v nastajanju Evropske unije:</w:t>
      </w:r>
    </w:p>
    <w:p w14:paraId="0E216B11" w14:textId="77777777" w:rsidR="00A340B5" w:rsidRDefault="00A340B5" w:rsidP="00A340B5">
      <w:pPr>
        <w:pStyle w:val="NormalWeb"/>
      </w:pPr>
      <w:r>
        <w:t xml:space="preserve">Spomladi leta 1950, ko je povojna Evropa še iskala izhode iz politične in gospodarske nestabilnosti, je francoski zunanji minister Robert Schuman 9. maja 1950 predstavil predlog o uskladitvi obnovitvenega procesa premogovne in jeklarske industrije Francije in Nemčije. Avtor zamisli je bil znani pogajalec in mirovnik Jean Monnet, ki se ga danes spominjamo kot "očeta Evrope". </w:t>
      </w:r>
    </w:p>
    <w:p w14:paraId="33153222" w14:textId="77777777" w:rsidR="00A340B5" w:rsidRDefault="00A340B5" w:rsidP="00A340B5">
      <w:pPr>
        <w:pStyle w:val="NormalWeb"/>
      </w:pPr>
      <w:r>
        <w:t xml:space="preserve">Leto dni kasneje, 18. aprila 1951, so pariško pogodbo o ustanovitvi Evropske skupnosti za premog in jeklo podpisali Belgija, Francija, Nemčija, Italija, Luksemburg in Nizozemska - in tako začeli kompleksen proces gospodarskega združevanja, ki je temeljil na prosti medsebojni trgovini in skupni carinski politiki. </w:t>
      </w:r>
    </w:p>
    <w:p w14:paraId="4F311CB7" w14:textId="77777777" w:rsidR="005D56F6" w:rsidRDefault="00A340B5" w:rsidP="005D56F6">
      <w:pPr>
        <w:pStyle w:val="NormalWeb"/>
      </w:pPr>
      <w:r>
        <w:t xml:space="preserve">Leta 1957 so to sodelovanje nadaljevali v Rimu z ustanovitvijo Evropske gospodarske skupnosti, ki je v kasnejših letih prerasla v Evropsko skupnost. Evropsko gospodarsko sodelovanje se je pomembno okrepilo leta 1985 s projektom enotnega evropskega trga, po podpisu Maastrichtske pogodbe 7. februarja 1992 pa se je razširilo še na druga področja in dobilo sedanje ime: Evropska unija. Prav s to pogodbo je bil storjen odločilen korak na poti h gospodarski, denarni in politični uniji, ki je potem postala tudi pomemben dejavnik varnostne in zunanje politike ter hkrati porok za spoštovanje kulturne raznolikosti, nacionalne in jezikovne identitete vseh vključenih evropskih narodov. </w:t>
      </w:r>
    </w:p>
    <w:p w14:paraId="2A277492" w14:textId="77777777" w:rsidR="00AF7725" w:rsidRDefault="00AF7725" w:rsidP="005D56F6">
      <w:pPr>
        <w:pStyle w:val="NormalWeb"/>
      </w:pPr>
    </w:p>
    <w:p w14:paraId="46AFC195" w14:textId="77777777" w:rsidR="005D56F6" w:rsidRDefault="005D56F6" w:rsidP="005D56F6">
      <w:pPr>
        <w:pStyle w:val="NormalWeb"/>
      </w:pPr>
    </w:p>
    <w:p w14:paraId="5FA241FA" w14:textId="77777777" w:rsidR="005D56F6" w:rsidRDefault="005D56F6" w:rsidP="005D56F6">
      <w:pPr>
        <w:pStyle w:val="NormalWeb"/>
      </w:pPr>
    </w:p>
    <w:p w14:paraId="6EC9ED48" w14:textId="77777777" w:rsidR="005D56F6" w:rsidRDefault="005D56F6" w:rsidP="005D56F6">
      <w:pPr>
        <w:pStyle w:val="NormalWeb"/>
      </w:pPr>
    </w:p>
    <w:p w14:paraId="53A0DEB6" w14:textId="77777777" w:rsidR="005D56F6" w:rsidRDefault="005D56F6" w:rsidP="005D56F6">
      <w:pPr>
        <w:pStyle w:val="NormalWeb"/>
      </w:pPr>
    </w:p>
    <w:p w14:paraId="5D8CDA2F" w14:textId="77777777" w:rsidR="005D56F6" w:rsidRDefault="005D56F6" w:rsidP="005D56F6">
      <w:pPr>
        <w:pStyle w:val="NormalWeb"/>
      </w:pPr>
    </w:p>
    <w:p w14:paraId="7F9B36C1" w14:textId="77777777" w:rsidR="005D56F6" w:rsidRPr="005D56F6" w:rsidRDefault="00860B71" w:rsidP="005D56F6">
      <w:pPr>
        <w:pStyle w:val="NormalWeb"/>
        <w:rPr>
          <w:b/>
        </w:rPr>
      </w:pPr>
      <w:r w:rsidRPr="005D56F6">
        <w:rPr>
          <w:b/>
        </w:rPr>
        <w:lastRenderedPageBreak/>
        <w:t>Širitve v preteklosti</w:t>
      </w:r>
    </w:p>
    <w:p w14:paraId="009089B8" w14:textId="77777777" w:rsidR="004F4566" w:rsidRPr="005D56F6" w:rsidRDefault="003B753C" w:rsidP="005D56F6">
      <w:pPr>
        <w:pStyle w:val="NormalWeb"/>
        <w:rPr>
          <w:b/>
          <w:color w:val="000000"/>
        </w:rPr>
      </w:pPr>
      <w:r>
        <w:rPr>
          <w:b/>
          <w:color w:val="000000"/>
        </w:rPr>
        <w:pict w14:anchorId="1881E0E3">
          <v:shape id="_x0000_i1026" type="#_x0000_t75" style="width:132.2pt;height:137.55pt">
            <v:imagedata r:id="rId6" o:title="1952"/>
          </v:shape>
        </w:pict>
      </w:r>
      <w:r w:rsidR="005D56F6">
        <w:rPr>
          <w:b/>
          <w:color w:val="000000"/>
        </w:rPr>
        <w:t xml:space="preserve">                                           </w:t>
      </w:r>
      <w:r w:rsidR="005D56F6">
        <w:rPr>
          <w:b/>
          <w:color w:val="000000"/>
        </w:rPr>
        <w:tab/>
      </w:r>
      <w:r w:rsidR="005D56F6">
        <w:rPr>
          <w:b/>
          <w:color w:val="000000"/>
        </w:rPr>
        <w:tab/>
      </w:r>
      <w:r w:rsidR="005D56F6">
        <w:rPr>
          <w:b/>
          <w:color w:val="000000"/>
        </w:rPr>
        <w:tab/>
      </w:r>
      <w:r w:rsidR="005D56F6">
        <w:rPr>
          <w:b/>
          <w:color w:val="000000"/>
        </w:rPr>
        <w:tab/>
      </w:r>
      <w:r w:rsidR="005D56F6">
        <w:rPr>
          <w:b/>
          <w:color w:val="000000"/>
        </w:rPr>
        <w:tab/>
      </w:r>
      <w:r w:rsidR="0085087A">
        <w:rPr>
          <w:b/>
          <w:color w:val="000000"/>
        </w:rPr>
        <w:t xml:space="preserve"> </w:t>
      </w:r>
      <w:r w:rsidR="005D56F6">
        <w:rPr>
          <w:b/>
          <w:color w:val="000000"/>
        </w:rPr>
        <w:t xml:space="preserve">  </w:t>
      </w:r>
      <w:r w:rsidR="004F4566" w:rsidRPr="0085087A">
        <w:rPr>
          <w:b/>
          <w:bCs/>
          <w:sz w:val="20"/>
          <w:szCs w:val="20"/>
        </w:rPr>
        <w:t>1952</w:t>
      </w:r>
      <w:r w:rsidR="004F4566" w:rsidRPr="0085087A">
        <w:rPr>
          <w:sz w:val="20"/>
          <w:szCs w:val="20"/>
        </w:rPr>
        <w:t xml:space="preserve"> </w:t>
      </w:r>
      <w:r w:rsidR="004F4566" w:rsidRPr="0085087A">
        <w:rPr>
          <w:sz w:val="20"/>
          <w:szCs w:val="20"/>
        </w:rPr>
        <w:br/>
        <w:t>Belgija, Francija, Nemčija, Italija, Luksemburg in Nizozemska</w:t>
      </w:r>
    </w:p>
    <w:p w14:paraId="44001835" w14:textId="77777777" w:rsidR="00860B71" w:rsidRDefault="003B753C" w:rsidP="00A340B5">
      <w:pPr>
        <w:rPr>
          <w:b/>
          <w:color w:val="000000"/>
        </w:rPr>
      </w:pPr>
      <w:r>
        <w:rPr>
          <w:b/>
          <w:color w:val="000000"/>
        </w:rPr>
        <w:pict w14:anchorId="499D201C">
          <v:shape id="_x0000_i1027" type="#_x0000_t75" style="width:132.2pt;height:137.55pt">
            <v:imagedata r:id="rId7" o:title="1973"/>
          </v:shape>
        </w:pict>
      </w:r>
    </w:p>
    <w:p w14:paraId="52AD8438" w14:textId="77777777" w:rsidR="00860B71" w:rsidRPr="0085087A" w:rsidRDefault="004F4566" w:rsidP="00A340B5">
      <w:pPr>
        <w:rPr>
          <w:b/>
          <w:color w:val="000000"/>
          <w:sz w:val="20"/>
          <w:szCs w:val="20"/>
        </w:rPr>
      </w:pPr>
      <w:r w:rsidRPr="0085087A">
        <w:rPr>
          <w:b/>
          <w:bCs/>
          <w:sz w:val="20"/>
          <w:szCs w:val="20"/>
        </w:rPr>
        <w:t xml:space="preserve">1973 </w:t>
      </w:r>
      <w:r w:rsidRPr="0085087A">
        <w:rPr>
          <w:sz w:val="20"/>
          <w:szCs w:val="20"/>
        </w:rPr>
        <w:br/>
        <w:t>Danska, Irska, Velika Britanija</w:t>
      </w:r>
    </w:p>
    <w:p w14:paraId="65B62AEA" w14:textId="77777777" w:rsidR="00860B71" w:rsidRDefault="003B753C" w:rsidP="00A340B5">
      <w:pPr>
        <w:rPr>
          <w:b/>
          <w:color w:val="000000"/>
        </w:rPr>
      </w:pPr>
      <w:r>
        <w:rPr>
          <w:b/>
          <w:color w:val="000000"/>
        </w:rPr>
        <w:pict w14:anchorId="2BE59C21">
          <v:shape id="_x0000_i1028" type="#_x0000_t75" style="width:132.2pt;height:137.55pt">
            <v:imagedata r:id="rId8" o:title="1981"/>
          </v:shape>
        </w:pict>
      </w:r>
    </w:p>
    <w:p w14:paraId="1899334B" w14:textId="77777777" w:rsidR="004F4566" w:rsidRPr="0085087A" w:rsidRDefault="004F4566" w:rsidP="00A340B5">
      <w:pPr>
        <w:rPr>
          <w:b/>
          <w:color w:val="000000"/>
          <w:sz w:val="20"/>
          <w:szCs w:val="20"/>
        </w:rPr>
      </w:pPr>
      <w:r w:rsidRPr="0085087A">
        <w:rPr>
          <w:b/>
          <w:bCs/>
          <w:sz w:val="20"/>
          <w:szCs w:val="20"/>
        </w:rPr>
        <w:t xml:space="preserve">1981 </w:t>
      </w:r>
      <w:r w:rsidRPr="0085087A">
        <w:rPr>
          <w:sz w:val="20"/>
          <w:szCs w:val="20"/>
        </w:rPr>
        <w:br/>
        <w:t>Grčija</w:t>
      </w:r>
    </w:p>
    <w:p w14:paraId="48518762" w14:textId="77777777" w:rsidR="004F4566" w:rsidRDefault="003B753C" w:rsidP="00A340B5">
      <w:pPr>
        <w:rPr>
          <w:b/>
          <w:color w:val="000000"/>
        </w:rPr>
      </w:pPr>
      <w:r>
        <w:rPr>
          <w:b/>
          <w:color w:val="000000"/>
        </w:rPr>
        <w:pict w14:anchorId="22A35C2E">
          <v:shape id="_x0000_i1029" type="#_x0000_t75" style="width:132.2pt;height:137.55pt">
            <v:imagedata r:id="rId9" o:title="1986"/>
          </v:shape>
        </w:pict>
      </w:r>
    </w:p>
    <w:p w14:paraId="7AC38AD9" w14:textId="77777777" w:rsidR="004F4566" w:rsidRPr="0085087A" w:rsidRDefault="004F4566" w:rsidP="00A340B5">
      <w:pPr>
        <w:rPr>
          <w:b/>
          <w:color w:val="000000"/>
          <w:sz w:val="20"/>
          <w:szCs w:val="20"/>
        </w:rPr>
      </w:pPr>
      <w:r w:rsidRPr="0085087A">
        <w:rPr>
          <w:b/>
          <w:bCs/>
          <w:sz w:val="20"/>
          <w:szCs w:val="20"/>
        </w:rPr>
        <w:t>1986</w:t>
      </w:r>
      <w:r w:rsidRPr="0085087A">
        <w:rPr>
          <w:sz w:val="20"/>
          <w:szCs w:val="20"/>
        </w:rPr>
        <w:t xml:space="preserve"> </w:t>
      </w:r>
      <w:r w:rsidRPr="0085087A">
        <w:rPr>
          <w:sz w:val="20"/>
          <w:szCs w:val="20"/>
        </w:rPr>
        <w:br/>
        <w:t>Španija in Portugalska</w:t>
      </w:r>
    </w:p>
    <w:p w14:paraId="3AB29547" w14:textId="77777777" w:rsidR="004F4566" w:rsidRDefault="003B753C" w:rsidP="00A340B5">
      <w:pPr>
        <w:rPr>
          <w:b/>
          <w:color w:val="000000"/>
        </w:rPr>
      </w:pPr>
      <w:r>
        <w:rPr>
          <w:b/>
          <w:color w:val="000000"/>
        </w:rPr>
        <w:lastRenderedPageBreak/>
        <w:pict w14:anchorId="70142168">
          <v:shape id="_x0000_i1030" type="#_x0000_t75" style="width:132.2pt;height:137.55pt">
            <v:imagedata r:id="rId10" o:title="1995"/>
          </v:shape>
        </w:pict>
      </w:r>
    </w:p>
    <w:p w14:paraId="701594BD" w14:textId="77777777" w:rsidR="004F4566" w:rsidRPr="0085087A" w:rsidRDefault="004F4566" w:rsidP="00A340B5">
      <w:pPr>
        <w:rPr>
          <w:b/>
          <w:color w:val="000000"/>
          <w:sz w:val="20"/>
          <w:szCs w:val="20"/>
        </w:rPr>
      </w:pPr>
      <w:r w:rsidRPr="0085087A">
        <w:rPr>
          <w:b/>
          <w:bCs/>
          <w:sz w:val="20"/>
          <w:szCs w:val="20"/>
        </w:rPr>
        <w:t>1995</w:t>
      </w:r>
      <w:r w:rsidRPr="0085087A">
        <w:rPr>
          <w:sz w:val="20"/>
          <w:szCs w:val="20"/>
        </w:rPr>
        <w:t xml:space="preserve"> </w:t>
      </w:r>
      <w:r w:rsidRPr="0085087A">
        <w:rPr>
          <w:sz w:val="20"/>
          <w:szCs w:val="20"/>
        </w:rPr>
        <w:br/>
        <w:t>Finska, Švedska in Avstrija</w:t>
      </w:r>
    </w:p>
    <w:p w14:paraId="06F80F99" w14:textId="77777777" w:rsidR="004F4566" w:rsidRDefault="003B753C" w:rsidP="00A340B5">
      <w:pPr>
        <w:rPr>
          <w:b/>
          <w:color w:val="000000"/>
        </w:rPr>
      </w:pPr>
      <w:r>
        <w:rPr>
          <w:b/>
          <w:color w:val="000000"/>
        </w:rPr>
        <w:pict w14:anchorId="4F5284AC">
          <v:shape id="_x0000_i1031" type="#_x0000_t75" style="width:132.2pt;height:137.55pt">
            <v:imagedata r:id="rId11" o:title="2004"/>
          </v:shape>
        </w:pict>
      </w:r>
    </w:p>
    <w:p w14:paraId="757B1AA6" w14:textId="77777777" w:rsidR="004F4566" w:rsidRPr="0085087A" w:rsidRDefault="004F4566" w:rsidP="00A340B5">
      <w:pPr>
        <w:rPr>
          <w:b/>
          <w:color w:val="000000"/>
          <w:sz w:val="20"/>
          <w:szCs w:val="20"/>
        </w:rPr>
      </w:pPr>
      <w:r w:rsidRPr="0085087A">
        <w:rPr>
          <w:b/>
          <w:bCs/>
          <w:sz w:val="20"/>
          <w:szCs w:val="20"/>
        </w:rPr>
        <w:t>2004</w:t>
      </w:r>
      <w:r w:rsidRPr="0085087A">
        <w:rPr>
          <w:sz w:val="20"/>
          <w:szCs w:val="20"/>
        </w:rPr>
        <w:t xml:space="preserve"> </w:t>
      </w:r>
      <w:r w:rsidRPr="0085087A">
        <w:rPr>
          <w:sz w:val="20"/>
          <w:szCs w:val="20"/>
        </w:rPr>
        <w:br/>
        <w:t>Ciper, Češka, Estonija, Latvija, Litva, Madžarska, Malta, Poljska, Slovaška, Slovenija</w:t>
      </w:r>
    </w:p>
    <w:p w14:paraId="0EBA49BE" w14:textId="77777777" w:rsidR="004F4566" w:rsidRDefault="003B753C" w:rsidP="00A340B5">
      <w:pPr>
        <w:rPr>
          <w:b/>
          <w:color w:val="000000"/>
        </w:rPr>
      </w:pPr>
      <w:r>
        <w:rPr>
          <w:b/>
          <w:color w:val="000000"/>
        </w:rPr>
        <w:pict w14:anchorId="2BB897EC">
          <v:shape id="_x0000_i1032" type="#_x0000_t75" style="width:132.2pt;height:137.55pt">
            <v:imagedata r:id="rId12" o:title="2007"/>
          </v:shape>
        </w:pict>
      </w:r>
    </w:p>
    <w:p w14:paraId="1BABC62F" w14:textId="77777777" w:rsidR="004F4566" w:rsidRPr="0085087A" w:rsidRDefault="004F4566" w:rsidP="00A340B5">
      <w:pPr>
        <w:rPr>
          <w:sz w:val="20"/>
          <w:szCs w:val="20"/>
        </w:rPr>
      </w:pPr>
      <w:r w:rsidRPr="0085087A">
        <w:rPr>
          <w:b/>
          <w:bCs/>
          <w:sz w:val="20"/>
          <w:szCs w:val="20"/>
        </w:rPr>
        <w:t>2007</w:t>
      </w:r>
      <w:r w:rsidRPr="0085087A">
        <w:rPr>
          <w:sz w:val="20"/>
          <w:szCs w:val="20"/>
        </w:rPr>
        <w:t xml:space="preserve"> </w:t>
      </w:r>
      <w:r w:rsidRPr="0085087A">
        <w:rPr>
          <w:sz w:val="20"/>
          <w:szCs w:val="20"/>
        </w:rPr>
        <w:br/>
        <w:t>Bolgarija in Romunija</w:t>
      </w:r>
    </w:p>
    <w:p w14:paraId="27DEA97B" w14:textId="77777777" w:rsidR="00AF7725" w:rsidRDefault="00AF7725" w:rsidP="00A340B5">
      <w:pPr>
        <w:rPr>
          <w:b/>
          <w:color w:val="000000"/>
        </w:rPr>
      </w:pPr>
    </w:p>
    <w:p w14:paraId="24189433" w14:textId="77777777" w:rsidR="004F4566" w:rsidRDefault="005C7732" w:rsidP="00A340B5">
      <w:pPr>
        <w:rPr>
          <w:b/>
          <w:color w:val="000000"/>
        </w:rPr>
      </w:pPr>
      <w:r>
        <w:rPr>
          <w:b/>
          <w:color w:val="000000"/>
        </w:rPr>
        <w:t>Stanje danes:</w:t>
      </w:r>
    </w:p>
    <w:p w14:paraId="5DFA2B10" w14:textId="77777777" w:rsidR="005C7732" w:rsidRDefault="003B753C" w:rsidP="005C7732">
      <w:pPr>
        <w:rPr>
          <w:b/>
          <w:color w:val="000000"/>
        </w:rPr>
      </w:pPr>
      <w:r>
        <w:rPr>
          <w:b/>
          <w:color w:val="000000"/>
        </w:rPr>
        <w:pict w14:anchorId="63A8FF9D">
          <v:shape id="_x0000_i1033" type="#_x0000_t75" style="width:132.2pt;height:137.55pt">
            <v:imagedata r:id="rId13" o:title="danasnje"/>
          </v:shape>
        </w:pict>
      </w:r>
      <w:r w:rsidR="00C52084">
        <w:rPr>
          <w:b/>
          <w:color w:val="000000"/>
        </w:rPr>
        <w:t xml:space="preserve">      </w:t>
      </w:r>
    </w:p>
    <w:p w14:paraId="6152EA0A" w14:textId="77777777" w:rsidR="005C7732" w:rsidRPr="00C52084" w:rsidRDefault="005C7732" w:rsidP="005C7732">
      <w:r>
        <w:rPr>
          <w:b/>
          <w:bCs/>
        </w:rPr>
        <w:t>2007</w:t>
      </w:r>
      <w:r>
        <w:t xml:space="preserve"> </w:t>
      </w:r>
      <w:r>
        <w:br/>
        <w:t xml:space="preserve">S pridružitvijo Bolgarije in Romunije 1. januarja 2007 obsega Evropska unija 27 držav članic, in sicer Avstrija, Belgija, Bolgarija, Ciper, Češka, Danska, Estonija, Finska, Francija, Grčija, </w:t>
      </w:r>
      <w:r>
        <w:lastRenderedPageBreak/>
        <w:t xml:space="preserve">Irska, Italija, Latvija, Litva, Luksemburg, Madžarska, Malta, Nemčija, Nizozemska, Poljska, </w:t>
      </w:r>
      <w:r w:rsidRPr="00C52084">
        <w:t xml:space="preserve">Portugalska, Romunija, Slovaška, Slovenija, Španija, Švedska, Velika Britanija. </w:t>
      </w:r>
    </w:p>
    <w:p w14:paraId="44E96AAF" w14:textId="77777777" w:rsidR="00C52084" w:rsidRPr="00C52084" w:rsidRDefault="00C52084" w:rsidP="00C52084">
      <w:r w:rsidRPr="00C52084">
        <w:rPr>
          <w:bCs/>
        </w:rPr>
        <w:t>492,8 milijonov prebivalcev,</w:t>
      </w:r>
      <w:r w:rsidRPr="00C52084">
        <w:t xml:space="preserve"> </w:t>
      </w:r>
    </w:p>
    <w:p w14:paraId="49AE8860" w14:textId="77777777" w:rsidR="00C52084" w:rsidRPr="00C52084" w:rsidRDefault="00C52084" w:rsidP="00C52084">
      <w:r w:rsidRPr="00C52084">
        <w:rPr>
          <w:bCs/>
        </w:rPr>
        <w:t>4,2 milijona km</w:t>
      </w:r>
      <w:r w:rsidRPr="00C52084">
        <w:rPr>
          <w:bCs/>
          <w:vertAlign w:val="superscript"/>
        </w:rPr>
        <w:t>2</w:t>
      </w:r>
      <w:r w:rsidRPr="00C52084">
        <w:rPr>
          <w:bCs/>
        </w:rPr>
        <w:t xml:space="preserve"> površine,</w:t>
      </w:r>
      <w:r w:rsidRPr="00C52084">
        <w:t xml:space="preserve"> </w:t>
      </w:r>
    </w:p>
    <w:p w14:paraId="47B2ABAF" w14:textId="77777777" w:rsidR="00C52084" w:rsidRPr="00C52084" w:rsidRDefault="00C52084" w:rsidP="00C52084">
      <w:r w:rsidRPr="00C52084">
        <w:rPr>
          <w:bCs/>
        </w:rPr>
        <w:t>23 uradnih jezikov,</w:t>
      </w:r>
      <w:r w:rsidRPr="00C52084">
        <w:t xml:space="preserve"> </w:t>
      </w:r>
    </w:p>
    <w:p w14:paraId="2C712620" w14:textId="77777777" w:rsidR="00C52084" w:rsidRDefault="00C52084" w:rsidP="00C52084">
      <w:pPr>
        <w:rPr>
          <w:bCs/>
        </w:rPr>
      </w:pPr>
      <w:r w:rsidRPr="00C52084">
        <w:rPr>
          <w:bCs/>
        </w:rPr>
        <w:t>22.216 evrov bruto domačega proizvoda na prebivalca.</w:t>
      </w:r>
    </w:p>
    <w:p w14:paraId="0BD07365" w14:textId="77777777" w:rsidR="00C52084" w:rsidRDefault="00C52084" w:rsidP="00C52084">
      <w:pPr>
        <w:rPr>
          <w:bCs/>
        </w:rPr>
      </w:pPr>
    </w:p>
    <w:p w14:paraId="56E78E08" w14:textId="77777777" w:rsidR="00B5467B" w:rsidRDefault="00B5467B" w:rsidP="00C52084">
      <w:pPr>
        <w:rPr>
          <w:bCs/>
        </w:rPr>
      </w:pPr>
      <w:r>
        <w:rPr>
          <w:bCs/>
        </w:rPr>
        <w:t>Države kandidatke so: Hrvaška, Makedonija in Turčija.</w:t>
      </w:r>
    </w:p>
    <w:p w14:paraId="0C40A66C" w14:textId="77777777" w:rsidR="00C52084" w:rsidRDefault="00C52084" w:rsidP="00C52084">
      <w:pPr>
        <w:pStyle w:val="NormalWeb"/>
      </w:pPr>
      <w:r>
        <w:t xml:space="preserve">Ključnega pomena za delovanje EU so njene </w:t>
      </w:r>
      <w:r>
        <w:rPr>
          <w:b/>
          <w:bCs/>
        </w:rPr>
        <w:t>skupne institucije</w:t>
      </w:r>
      <w:r>
        <w:t xml:space="preserve"> (Evropski parlament, Svet EU, Evropska komisija, Sodišče Evropskih skupnosti in Računsko sodišče), ki druga drugo dopolnjujejo, vsaka pa igra pomembno vlogo pri sprejemanju odločitev. Njihovi sedeži so v Bruslju, Luksemburgu in Strasbourgu. Delo institucij podpirajo še druga telesa (Odbor regij in Ekonomsko-socialni odbor, Evropska centralna banka, Evropska investicijska banka in evropski varuh človekovih pravic) ter agencije, specializirane za delovanje na področjih nekaterih skupnih politik EU. </w:t>
      </w:r>
    </w:p>
    <w:p w14:paraId="273D24B9" w14:textId="77777777" w:rsidR="00C52084" w:rsidRDefault="003B753C" w:rsidP="00C52084">
      <w:pPr>
        <w:pStyle w:val="NormalWeb"/>
      </w:pPr>
      <w:hyperlink r:id="rId14" w:history="1"/>
      <w:r w:rsidR="00C52084">
        <w:t xml:space="preserve">V Uniji so enotno urejena samo tista področja, na katerih lahko države članice s skupnimi močmi dosežejo več, kot če bi delovale same zase (na primer kmetijstvo). Takšen način urejanja imenujemo </w:t>
      </w:r>
      <w:r w:rsidR="00C52084">
        <w:rPr>
          <w:b/>
          <w:bCs/>
        </w:rPr>
        <w:t>skupne politike</w:t>
      </w:r>
      <w:r w:rsidR="00C52084">
        <w:t xml:space="preserve">. </w:t>
      </w:r>
    </w:p>
    <w:p w14:paraId="6FB69C7B" w14:textId="77777777" w:rsidR="00C52084" w:rsidRDefault="00C52084" w:rsidP="00C52084">
      <w:pPr>
        <w:pStyle w:val="NormalWeb"/>
      </w:pPr>
      <w:r>
        <w:t xml:space="preserve">Evropska unija je prepoznavna po </w:t>
      </w:r>
      <w:r>
        <w:rPr>
          <w:b/>
          <w:bCs/>
        </w:rPr>
        <w:t>evropski zastavi</w:t>
      </w:r>
      <w:r>
        <w:t xml:space="preserve"> (12 rumenih zvezd, razporejenih v krog na modri podlagi; število zvezd ne predstavlja števila članic EU, ampak ponazarja popolnost), </w:t>
      </w:r>
      <w:r>
        <w:rPr>
          <w:b/>
          <w:bCs/>
        </w:rPr>
        <w:t>evropski himni</w:t>
      </w:r>
      <w:r>
        <w:t xml:space="preserve">, (Oda radosti, sklepni del Beethovnove 9. simfonije), skupni valuti - </w:t>
      </w:r>
      <w:r>
        <w:rPr>
          <w:b/>
          <w:bCs/>
        </w:rPr>
        <w:t>evru</w:t>
      </w:r>
      <w:r>
        <w:t xml:space="preserve"> in </w:t>
      </w:r>
      <w:r>
        <w:rPr>
          <w:b/>
          <w:bCs/>
        </w:rPr>
        <w:t>dnevu Evrope, 9. maju</w:t>
      </w:r>
      <w:r>
        <w:t>, ko Unija</w:t>
      </w:r>
      <w:r w:rsidR="00AF7725">
        <w:t xml:space="preserve"> praznuje svoj rojstni dan.</w:t>
      </w:r>
    </w:p>
    <w:p w14:paraId="4B9DFB44" w14:textId="77777777" w:rsidR="00C52084" w:rsidRDefault="000B1DA3" w:rsidP="00C52084">
      <w:pPr>
        <w:rPr>
          <w:b/>
        </w:rPr>
      </w:pPr>
      <w:r>
        <w:rPr>
          <w:b/>
        </w:rPr>
        <w:t>SVET EVROPSKE UNIJE</w:t>
      </w:r>
    </w:p>
    <w:p w14:paraId="06BD3ECA" w14:textId="77777777" w:rsidR="009A7905" w:rsidRDefault="009A7905" w:rsidP="00C52084">
      <w:pPr>
        <w:rPr>
          <w:b/>
        </w:rPr>
      </w:pPr>
    </w:p>
    <w:p w14:paraId="251E921E" w14:textId="77777777" w:rsidR="000B1DA3" w:rsidRDefault="000B1DA3" w:rsidP="00C52084">
      <w:pPr>
        <w:rPr>
          <w:color w:val="000000"/>
        </w:rPr>
      </w:pPr>
      <w:r w:rsidRPr="000B1DA3">
        <w:rPr>
          <w:b/>
          <w:bCs/>
          <w:color w:val="000000"/>
        </w:rPr>
        <w:t>Svet Evropske unije</w:t>
      </w:r>
      <w:r w:rsidRPr="000B1DA3">
        <w:rPr>
          <w:color w:val="000000"/>
        </w:rPr>
        <w:t xml:space="preserve"> (do leta 1993 </w:t>
      </w:r>
      <w:r w:rsidRPr="000B1DA3">
        <w:rPr>
          <w:i/>
          <w:iCs/>
          <w:color w:val="000000"/>
        </w:rPr>
        <w:t>ministrski svet</w:t>
      </w:r>
      <w:r w:rsidRPr="000B1DA3">
        <w:rPr>
          <w:color w:val="000000"/>
        </w:rPr>
        <w:t xml:space="preserve">) je inštitucija Unije, v kateri so zastopane vlade držav članic EU. Je najpomembnejša ustanova v procesu sprejemanja odločitev Evropske unije, svojo sestavo in ime pa spreminja glede na področje dela (kmetijstvo, promet, izobraževanje itd.). </w:t>
      </w:r>
      <w:r w:rsidR="004738D4">
        <w:rPr>
          <w:color w:val="000000"/>
        </w:rPr>
        <w:t>Glede na tematiko se sestanejo</w:t>
      </w:r>
      <w:r w:rsidRPr="000B1DA3">
        <w:rPr>
          <w:color w:val="000000"/>
        </w:rPr>
        <w:t xml:space="preserve"> ministri, ki sprejemajo odločitve s svojega področja.</w:t>
      </w:r>
    </w:p>
    <w:p w14:paraId="20D84E5C" w14:textId="77777777" w:rsidR="00951940" w:rsidRPr="000B1DA3" w:rsidRDefault="00951940" w:rsidP="00C52084">
      <w:pPr>
        <w:rPr>
          <w:b/>
          <w:color w:val="000000"/>
        </w:rPr>
      </w:pPr>
      <w:r>
        <w:t xml:space="preserve">Najpomembnejši svet sestavljajo zunanji ministri. Imenuje se </w:t>
      </w:r>
      <w:r>
        <w:rPr>
          <w:i/>
          <w:iCs/>
        </w:rPr>
        <w:t>svet za splošne zadeve in zunanje odnose</w:t>
      </w:r>
      <w:r>
        <w:t xml:space="preserve">. Poleg dela na svojem področju namreč ta svet usklajuje tudi delo vseh drugih ministrskih srečanj. Kot primarni zakonodajni organ (na vse več področjih se uveljavlja sistem soodločanja z </w:t>
      </w:r>
      <w:r w:rsidRPr="00951940">
        <w:t>evropskim parlamentom</w:t>
      </w:r>
      <w:r>
        <w:t xml:space="preserve">) svet EU sprejema različne pravne akte, med katerimi so najpomembnejše uredbe. Te so zavezujoče za vse članice z dnevom objave v </w:t>
      </w:r>
      <w:r w:rsidRPr="00951940">
        <w:t>Uradnem listu Evropskih skupnosti</w:t>
      </w:r>
      <w:r>
        <w:t>, ko postanejo tudi del notranjega prava vsake članice. Svet sprejema tudi direktive, odločbe, mnenja in priporočila.</w:t>
      </w:r>
    </w:p>
    <w:p w14:paraId="2542E183" w14:textId="77777777" w:rsidR="005C7732" w:rsidRDefault="00951940" w:rsidP="00A340B5">
      <w:r>
        <w:t>Vsaka članica Unije predseduje Svetu EU šest mesecev. Rotacija je določena vnaprej, predsedujoča članica pa usmerja delo Sveta EU in išče kompromisno rešitev, kadar so mnenja deljena. Predsedstvo deluje v skladu s svojim programom, v katerem predsedujoča država poleg uresničitve skupnih ciljev predlaga tudi svoje prednostne naloge. Najmanj na pol leta se vsak Svet sestane tudi na neformalnem zasedanju.</w:t>
      </w:r>
    </w:p>
    <w:p w14:paraId="11D21A03" w14:textId="77777777" w:rsidR="00951940" w:rsidRDefault="00951940" w:rsidP="00A340B5">
      <w:r>
        <w:t xml:space="preserve">Pomembno telo Sveta je </w:t>
      </w:r>
      <w:r w:rsidRPr="00951940">
        <w:rPr>
          <w:b/>
        </w:rPr>
        <w:t>COREPER</w:t>
      </w:r>
      <w:r>
        <w:t xml:space="preserve"> – odbor stalnih predstavnikov držav članic EU. COREPER je francoska kratica imena tega odbora, sestavljajo pa ga </w:t>
      </w:r>
      <w:r w:rsidRPr="00951940">
        <w:t>veleposlaniki</w:t>
      </w:r>
      <w:r>
        <w:t xml:space="preserve"> držav članic pri Evropski uniji, ki pripravljajo seje posameznih svetov. Naloga tega odbora je podpora Svetu EU pri obravnavanju pravnih predlogov in osnutkov, ki jih predloži </w:t>
      </w:r>
      <w:r w:rsidRPr="00951940">
        <w:t>evropska komisija</w:t>
      </w:r>
      <w:r>
        <w:t>. Kar 90 odstotkov vseh odločitev Sveta EU je sprejetih na zasedanjih COREPER.</w:t>
      </w:r>
    </w:p>
    <w:p w14:paraId="443C9A24" w14:textId="77777777" w:rsidR="00951940" w:rsidRDefault="00951940" w:rsidP="00A340B5"/>
    <w:p w14:paraId="63F221A1" w14:textId="77777777" w:rsidR="00951940" w:rsidRPr="00A4633D" w:rsidRDefault="00951940" w:rsidP="00A340B5">
      <w:pPr>
        <w:rPr>
          <w:b/>
          <w:i/>
        </w:rPr>
      </w:pPr>
      <w:r w:rsidRPr="00A4633D">
        <w:rPr>
          <w:b/>
          <w:i/>
        </w:rPr>
        <w:t>SVET EVROPE, EVROPSKI SVET</w:t>
      </w:r>
    </w:p>
    <w:p w14:paraId="5B01136D" w14:textId="77777777" w:rsidR="00951940" w:rsidRDefault="00951940" w:rsidP="00A340B5">
      <w:r>
        <w:t xml:space="preserve">Sveta Evropske unije ne smemo zamenjevati s </w:t>
      </w:r>
      <w:r w:rsidRPr="00951940">
        <w:t>Svetom Evrope</w:t>
      </w:r>
      <w:r>
        <w:t xml:space="preserve">, ki je povsem ločena </w:t>
      </w:r>
      <w:r w:rsidRPr="00951940">
        <w:t>mednarodna organizacija</w:t>
      </w:r>
      <w:r>
        <w:t xml:space="preserve">. Ne smemo ga zamenjevati tudi z </w:t>
      </w:r>
      <w:r w:rsidRPr="00951940">
        <w:t>Evropskim svetom</w:t>
      </w:r>
      <w:r>
        <w:t xml:space="preserve">, ki je ločena, čeravno tesno povezana inštitucija EU, sestavljena iz predsednikov držav ali vlad držav članic ter predsednika </w:t>
      </w:r>
      <w:r w:rsidRPr="00951940">
        <w:t>Evropske komisije</w:t>
      </w:r>
      <w:r>
        <w:t>. Svet Evropske unije v dokumentih EU pogosto navajajo le kot »Svet«, neformalno pa je občasno v rabi stari izraz »ministrski svet«.</w:t>
      </w:r>
    </w:p>
    <w:p w14:paraId="535312B0" w14:textId="77777777" w:rsidR="009A7905" w:rsidRDefault="009A7905" w:rsidP="00A340B5"/>
    <w:p w14:paraId="3500DED4" w14:textId="77777777" w:rsidR="00954BDA" w:rsidRPr="00954BDA" w:rsidRDefault="00954BDA" w:rsidP="00954BDA">
      <w:pPr>
        <w:pStyle w:val="NormalWeb"/>
        <w:rPr>
          <w:b/>
        </w:rPr>
      </w:pPr>
      <w:r w:rsidRPr="00954BDA">
        <w:rPr>
          <w:b/>
        </w:rPr>
        <w:t>EVROPSKI PARLAMENT</w:t>
      </w:r>
    </w:p>
    <w:p w14:paraId="7D712C46" w14:textId="77777777" w:rsidR="00954BDA" w:rsidRDefault="00954BDA" w:rsidP="00954BDA">
      <w:pPr>
        <w:pStyle w:val="NormalWeb"/>
      </w:pPr>
      <w:r w:rsidRPr="00954BDA">
        <w:t>Evropski parlament</w:t>
      </w:r>
      <w:r>
        <w:t xml:space="preserve"> (</w:t>
      </w:r>
      <w:r>
        <w:rPr>
          <w:i/>
          <w:iCs/>
        </w:rPr>
        <w:t>Parlement européen, European Parliament</w:t>
      </w:r>
      <w:r>
        <w:t xml:space="preserve">) sestavljajo neposredno izvoljeni poslanci (od l. </w:t>
      </w:r>
      <w:r w:rsidRPr="00954BDA">
        <w:t>1979</w:t>
      </w:r>
      <w:r>
        <w:t>), ki prihajajo iz držav članic. Je nadzorni in posvetovalni organ. Klasično zakonodajno funkcijo izvaja v omejenem obsegu, torej le skupaj s Svetom EU. Poslanci se združujejo glede na strankarsko pripadnost in ne na nacionalni osnovi. Sedež Evropskega parlamenta je v Strasbourgu. Evropskih poslancev je 785, med njimi 7 Slovencev (</w:t>
      </w:r>
      <w:r w:rsidRPr="00954BDA">
        <w:t>Miha Brejc</w:t>
      </w:r>
      <w:r>
        <w:t xml:space="preserve">, </w:t>
      </w:r>
      <w:r w:rsidRPr="00954BDA">
        <w:t>Mojca Drčar Murko</w:t>
      </w:r>
      <w:r>
        <w:t xml:space="preserve">, </w:t>
      </w:r>
      <w:r w:rsidRPr="00954BDA">
        <w:t>Romana Jordan Cizelj</w:t>
      </w:r>
      <w:r>
        <w:t xml:space="preserve">, </w:t>
      </w:r>
      <w:r w:rsidRPr="00954BDA">
        <w:t>Jelko Kacin</w:t>
      </w:r>
      <w:r>
        <w:t xml:space="preserve">, </w:t>
      </w:r>
      <w:r w:rsidRPr="00954BDA">
        <w:t>Ljudmila Novak</w:t>
      </w:r>
      <w:r>
        <w:t xml:space="preserve">, </w:t>
      </w:r>
      <w:r w:rsidRPr="00954BDA">
        <w:t>Borut Pahor</w:t>
      </w:r>
      <w:r>
        <w:t xml:space="preserve"> in </w:t>
      </w:r>
      <w:r w:rsidRPr="00954BDA">
        <w:t>Alojz Peterle</w:t>
      </w:r>
      <w:r>
        <w:t>).</w:t>
      </w:r>
    </w:p>
    <w:p w14:paraId="79BC81A5" w14:textId="77777777" w:rsidR="00954BDA" w:rsidRPr="00954BDA" w:rsidRDefault="00954BDA" w:rsidP="00954BDA">
      <w:pPr>
        <w:pStyle w:val="Heading3"/>
        <w:rPr>
          <w:sz w:val="24"/>
          <w:szCs w:val="24"/>
        </w:rPr>
      </w:pPr>
      <w:r w:rsidRPr="00954BDA">
        <w:rPr>
          <w:rStyle w:val="mw-headline"/>
          <w:sz w:val="24"/>
          <w:szCs w:val="24"/>
        </w:rPr>
        <w:t>EVROPSKA KOMISIJA</w:t>
      </w:r>
    </w:p>
    <w:p w14:paraId="4FC69FD6" w14:textId="77777777" w:rsidR="00954BDA" w:rsidRDefault="00954BDA" w:rsidP="00954BDA">
      <w:pPr>
        <w:pStyle w:val="NormalWeb"/>
      </w:pPr>
      <w:r w:rsidRPr="00954BDA">
        <w:t>Evropska komisija</w:t>
      </w:r>
      <w:r>
        <w:t xml:space="preserve"> (</w:t>
      </w:r>
      <w:r>
        <w:rPr>
          <w:i/>
          <w:iCs/>
        </w:rPr>
        <w:t>Commission européenne, European Comisson</w:t>
      </w:r>
      <w:r>
        <w:t>) je sestavljena iz 25 komisarjev, ki pokrivajo posamezna področja. Izvaja iniciativno in izvršilno funkcijo, upravlja s financami in predstavlja ter zastopa EU. Komisarje predlagajo nacionalne vlade za mandat petih let (Parlament odločitev potrdi), vendar so v svojem delu neodvisni. Sedež ima v Bruslju (Belgija).</w:t>
      </w:r>
    </w:p>
    <w:p w14:paraId="11EEA931" w14:textId="77777777" w:rsidR="0002659D" w:rsidRPr="0002659D" w:rsidRDefault="0002659D" w:rsidP="0002659D">
      <w:pPr>
        <w:pStyle w:val="Heading3"/>
        <w:rPr>
          <w:sz w:val="24"/>
          <w:szCs w:val="24"/>
        </w:rPr>
      </w:pPr>
      <w:r w:rsidRPr="0002659D">
        <w:rPr>
          <w:rStyle w:val="mw-headline"/>
          <w:sz w:val="24"/>
          <w:szCs w:val="24"/>
        </w:rPr>
        <w:t>RAČUNSKO SODIŠČE</w:t>
      </w:r>
    </w:p>
    <w:p w14:paraId="0BDD651E" w14:textId="77777777" w:rsidR="0002659D" w:rsidRDefault="0002659D" w:rsidP="0002659D">
      <w:pPr>
        <w:pStyle w:val="NormalWeb"/>
      </w:pPr>
      <w:r w:rsidRPr="0002659D">
        <w:t>Računsko sodišče</w:t>
      </w:r>
      <w:r>
        <w:t xml:space="preserve"> (</w:t>
      </w:r>
      <w:r>
        <w:rPr>
          <w:i/>
          <w:iCs/>
        </w:rPr>
        <w:t>Cour des comptes européenne, Court of Auditors</w:t>
      </w:r>
      <w:r>
        <w:t>) izvaja nadzor nad porabo EU sredstev. Ima 25 sodnikov z mandatom šestih let. Sedež ima v Luksemburgu.</w:t>
      </w:r>
    </w:p>
    <w:p w14:paraId="477CD8BC" w14:textId="77777777" w:rsidR="0002659D" w:rsidRPr="0002659D" w:rsidRDefault="0002659D" w:rsidP="0002659D">
      <w:pPr>
        <w:pStyle w:val="Heading3"/>
        <w:rPr>
          <w:sz w:val="24"/>
          <w:szCs w:val="24"/>
        </w:rPr>
      </w:pPr>
      <w:r w:rsidRPr="0002659D">
        <w:rPr>
          <w:rStyle w:val="mw-headline"/>
          <w:sz w:val="24"/>
          <w:szCs w:val="24"/>
        </w:rPr>
        <w:t>SODIŠČE EVROPSKIH SKUPNOSTI</w:t>
      </w:r>
    </w:p>
    <w:p w14:paraId="1B937DEA" w14:textId="77777777" w:rsidR="0002659D" w:rsidRDefault="0002659D" w:rsidP="0002659D">
      <w:pPr>
        <w:pStyle w:val="NormalWeb"/>
      </w:pPr>
      <w:r w:rsidRPr="0002659D">
        <w:t>Sodišče Evropskih skupnosti</w:t>
      </w:r>
      <w:r>
        <w:t xml:space="preserve"> (</w:t>
      </w:r>
      <w:r>
        <w:rPr>
          <w:i/>
          <w:iCs/>
        </w:rPr>
        <w:t>Cour de justice des Communautés européennes, Court of justice of the European Communities</w:t>
      </w:r>
      <w:r>
        <w:t>) sestavlja 25 sodnikov (po en iz vsake države članice, z mandatom šestih let) in 8 pravobranilcev, ki jih imenujejo nacionalne vlade, vendar s soglasjem vseh članic. Opravlja sodni nadzor nad vsemi akti Komisije in Sveta EU, nadzoruje članice, ali delujejo v skladu s pogodbami in dogovori.</w:t>
      </w:r>
    </w:p>
    <w:p w14:paraId="045236C7" w14:textId="77777777" w:rsidR="0002659D" w:rsidRDefault="0002659D" w:rsidP="0002659D">
      <w:pPr>
        <w:pStyle w:val="NormalWeb"/>
      </w:pPr>
    </w:p>
    <w:p w14:paraId="610C2FAE" w14:textId="77777777" w:rsidR="0002659D" w:rsidRDefault="0002659D" w:rsidP="00954BDA">
      <w:pPr>
        <w:pStyle w:val="NormalWeb"/>
      </w:pPr>
    </w:p>
    <w:p w14:paraId="2B8E19AD" w14:textId="77777777" w:rsidR="0002659D" w:rsidRDefault="0002659D" w:rsidP="00954BDA">
      <w:pPr>
        <w:pStyle w:val="NormalWeb"/>
      </w:pPr>
    </w:p>
    <w:p w14:paraId="057BD82B" w14:textId="77777777" w:rsidR="0002659D" w:rsidRDefault="0002659D" w:rsidP="00954BDA">
      <w:pPr>
        <w:pStyle w:val="NormalWeb"/>
      </w:pPr>
    </w:p>
    <w:p w14:paraId="7B20A6AF" w14:textId="77777777" w:rsidR="009A7905" w:rsidRDefault="009A7905" w:rsidP="00A340B5"/>
    <w:p w14:paraId="2EA78934" w14:textId="77777777" w:rsidR="00954BDA" w:rsidRPr="00954BDA" w:rsidRDefault="00954BDA" w:rsidP="00954BDA">
      <w:pPr>
        <w:pStyle w:val="Heading2"/>
        <w:rPr>
          <w:rStyle w:val="mw-headline"/>
          <w:i w:val="0"/>
        </w:rPr>
      </w:pPr>
      <w:r w:rsidRPr="00954BDA">
        <w:rPr>
          <w:rStyle w:val="mw-headline"/>
          <w:i w:val="0"/>
        </w:rPr>
        <w:lastRenderedPageBreak/>
        <w:t>Širitev Evropske unije</w:t>
      </w:r>
    </w:p>
    <w:p w14:paraId="6C474CA8" w14:textId="77777777" w:rsidR="00954BDA" w:rsidRDefault="00954BDA" w:rsidP="00954BDA"/>
    <w:p w14:paraId="0654AECA" w14:textId="77777777" w:rsidR="00954BDA" w:rsidRPr="00954BDA" w:rsidRDefault="00954BDA" w:rsidP="00954BDA">
      <w:r>
        <w:t xml:space="preserve">Proces širitve Evropske unije je bil sprožen decembra </w:t>
      </w:r>
      <w:r w:rsidRPr="00954BDA">
        <w:t>1997</w:t>
      </w:r>
      <w:r>
        <w:t xml:space="preserve"> v </w:t>
      </w:r>
      <w:r w:rsidRPr="00954BDA">
        <w:t>Luksemburgu</w:t>
      </w:r>
      <w:r>
        <w:t xml:space="preserve">, ko je </w:t>
      </w:r>
      <w:r w:rsidRPr="00954BDA">
        <w:t>Evropski svet</w:t>
      </w:r>
      <w:r>
        <w:t xml:space="preserve"> sprejel zgodovinsko odločitev o širitvi, s katero je opredelil </w:t>
      </w:r>
      <w:r w:rsidRPr="00954BDA">
        <w:t>proces širitve</w:t>
      </w:r>
      <w:r>
        <w:t xml:space="preserve"> v najširšem obsegu. Vanj so vključene vse države, ki želijo pristopiti k </w:t>
      </w:r>
      <w:r>
        <w:rPr>
          <w:rStyle w:val="Strong"/>
        </w:rPr>
        <w:t>EU</w:t>
      </w:r>
      <w:r>
        <w:t>. Gre za obsežen nenehno dopolnjujoč in nepretrgan proces. Vsaka država kandidatka v tem procesu napreduje s svojo hitrostjo, ki je odvisna od njene usposobljenosti za vstop. Sestavni deli procesa širitve so:</w:t>
      </w:r>
    </w:p>
    <w:p w14:paraId="79C22244" w14:textId="77777777" w:rsidR="00954BDA" w:rsidRDefault="00954BDA" w:rsidP="00954BDA">
      <w:pPr>
        <w:numPr>
          <w:ilvl w:val="0"/>
          <w:numId w:val="3"/>
        </w:numPr>
      </w:pPr>
      <w:r>
        <w:t>Evropska konferenca</w:t>
      </w:r>
    </w:p>
    <w:p w14:paraId="27A99553" w14:textId="77777777" w:rsidR="00954BDA" w:rsidRDefault="00954BDA" w:rsidP="00954BDA">
      <w:pPr>
        <w:numPr>
          <w:ilvl w:val="0"/>
          <w:numId w:val="3"/>
        </w:numPr>
      </w:pPr>
      <w:r>
        <w:t>Pristopni proces</w:t>
      </w:r>
    </w:p>
    <w:p w14:paraId="2FD24621" w14:textId="77777777" w:rsidR="00954BDA" w:rsidRDefault="00954BDA" w:rsidP="00954BDA">
      <w:pPr>
        <w:numPr>
          <w:ilvl w:val="0"/>
          <w:numId w:val="3"/>
        </w:numPr>
      </w:pPr>
      <w:r>
        <w:t>Pristopna pogajanja</w:t>
      </w:r>
    </w:p>
    <w:p w14:paraId="30D92393" w14:textId="77777777" w:rsidR="00954BDA" w:rsidRDefault="00954BDA" w:rsidP="00954BDA">
      <w:pPr>
        <w:numPr>
          <w:ilvl w:val="0"/>
          <w:numId w:val="3"/>
        </w:numPr>
      </w:pPr>
      <w:r>
        <w:t>Poglobljena predpristopna pogajanja</w:t>
      </w:r>
    </w:p>
    <w:p w14:paraId="1536921A" w14:textId="77777777" w:rsidR="00954BDA" w:rsidRDefault="00954BDA" w:rsidP="00954BDA">
      <w:pPr>
        <w:numPr>
          <w:ilvl w:val="0"/>
          <w:numId w:val="3"/>
        </w:numPr>
      </w:pPr>
      <w:r>
        <w:t>Evropski pridružitveni sporazum</w:t>
      </w:r>
    </w:p>
    <w:p w14:paraId="698F9ECC" w14:textId="77777777" w:rsidR="00954BDA" w:rsidRDefault="00954BDA" w:rsidP="00954BDA">
      <w:pPr>
        <w:numPr>
          <w:ilvl w:val="0"/>
          <w:numId w:val="3"/>
        </w:numPr>
      </w:pPr>
      <w:r>
        <w:t>Pristopno partnerstvo</w:t>
      </w:r>
    </w:p>
    <w:p w14:paraId="45CBF085" w14:textId="77777777" w:rsidR="00954BDA" w:rsidRDefault="00954BDA" w:rsidP="00954BDA">
      <w:pPr>
        <w:numPr>
          <w:ilvl w:val="0"/>
          <w:numId w:val="3"/>
        </w:numPr>
      </w:pPr>
      <w:r>
        <w:t>Državni program za prevzem evropskega pravnega reda</w:t>
      </w:r>
    </w:p>
    <w:p w14:paraId="3BD6F42F" w14:textId="77777777" w:rsidR="00954BDA" w:rsidRDefault="00954BDA" w:rsidP="00954BDA">
      <w:pPr>
        <w:numPr>
          <w:ilvl w:val="0"/>
          <w:numId w:val="3"/>
        </w:numPr>
      </w:pPr>
      <w:r>
        <w:t>Agenda 2000</w:t>
      </w:r>
    </w:p>
    <w:p w14:paraId="40628F0F" w14:textId="77777777" w:rsidR="00954BDA" w:rsidRDefault="00954BDA" w:rsidP="00954BDA">
      <w:pPr>
        <w:numPr>
          <w:ilvl w:val="0"/>
          <w:numId w:val="3"/>
        </w:numPr>
      </w:pPr>
      <w:r>
        <w:t>Redna poročila evropske komisije</w:t>
      </w:r>
    </w:p>
    <w:p w14:paraId="20170014" w14:textId="77777777" w:rsidR="00954BDA" w:rsidRDefault="00954BDA" w:rsidP="00954BDA">
      <w:pPr>
        <w:numPr>
          <w:ilvl w:val="0"/>
          <w:numId w:val="3"/>
        </w:numPr>
      </w:pPr>
      <w:r>
        <w:t>Širitvena strategija</w:t>
      </w:r>
    </w:p>
    <w:p w14:paraId="2D6AB9A3" w14:textId="77777777" w:rsidR="00954BDA" w:rsidRDefault="00954BDA" w:rsidP="00954BDA"/>
    <w:p w14:paraId="726068CB" w14:textId="77777777" w:rsidR="00954BDA" w:rsidRDefault="00954BDA" w:rsidP="00954BDA"/>
    <w:p w14:paraId="77A137FE" w14:textId="77777777" w:rsidR="00A273FC" w:rsidRDefault="00A273FC" w:rsidP="00954BDA"/>
    <w:p w14:paraId="7EEDFC09" w14:textId="77777777" w:rsidR="00A273FC" w:rsidRDefault="003B753C" w:rsidP="00FF7246">
      <w:pPr>
        <w:jc w:val="center"/>
      </w:pPr>
      <w:r>
        <w:pict w14:anchorId="656323CB">
          <v:shape id="_x0000_i1034" type="#_x0000_t75" style="width:337.45pt;height:315.95pt">
            <v:imagedata r:id="rId15" o:title="EU_MAPjan2007"/>
          </v:shape>
        </w:pict>
      </w:r>
    </w:p>
    <w:p w14:paraId="0AEAF3B6" w14:textId="77777777" w:rsidR="00FF7246" w:rsidRDefault="00FF7246" w:rsidP="00A340B5"/>
    <w:p w14:paraId="72944C21" w14:textId="77777777" w:rsidR="009A7905" w:rsidRDefault="009A7905" w:rsidP="00A340B5">
      <w:r>
        <w:t>Viri:</w:t>
      </w:r>
    </w:p>
    <w:p w14:paraId="3E3984FA" w14:textId="77777777" w:rsidR="009A7905" w:rsidRDefault="009A7905" w:rsidP="00A340B5"/>
    <w:p w14:paraId="3FAF2F61" w14:textId="77777777" w:rsidR="009A7905" w:rsidRDefault="003B753C" w:rsidP="00A340B5">
      <w:hyperlink r:id="rId16" w:history="1">
        <w:r w:rsidR="009A7905" w:rsidRPr="00E206FA">
          <w:rPr>
            <w:rStyle w:val="Hyperlink"/>
          </w:rPr>
          <w:t>http://ue.eu.int/cms3_fo/index.asp</w:t>
        </w:r>
      </w:hyperlink>
      <w:r w:rsidR="009A7905">
        <w:rPr>
          <w:color w:val="000000"/>
        </w:rPr>
        <w:t xml:space="preserve"> </w:t>
      </w:r>
      <w:r w:rsidR="009A7905">
        <w:t>Svet Evropske unije</w:t>
      </w:r>
    </w:p>
    <w:p w14:paraId="3EB97DCC" w14:textId="77777777" w:rsidR="009A7905" w:rsidRDefault="003B753C" w:rsidP="009A7905">
      <w:hyperlink r:id="rId17" w:tooltip="http://europa.eu/" w:history="1">
        <w:r w:rsidR="009A7905">
          <w:rPr>
            <w:rStyle w:val="Hyperlink"/>
          </w:rPr>
          <w:t>http://europa.eu/</w:t>
        </w:r>
      </w:hyperlink>
      <w:r w:rsidR="009A7905">
        <w:t xml:space="preserve"> </w:t>
      </w:r>
    </w:p>
    <w:p w14:paraId="0A3C6EE1" w14:textId="5C513A4F" w:rsidR="009A7905" w:rsidRPr="00B12D77" w:rsidRDefault="003B753C" w:rsidP="00A340B5">
      <w:hyperlink r:id="rId18" w:history="1">
        <w:r w:rsidR="009A7905" w:rsidRPr="00E206FA">
          <w:rPr>
            <w:rStyle w:val="Hyperlink"/>
          </w:rPr>
          <w:t>http://sl.wikipedia.org/wiki/Evropska_unija</w:t>
        </w:r>
      </w:hyperlink>
    </w:p>
    <w:sectPr w:rsidR="009A7905" w:rsidRPr="00B1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68BB"/>
    <w:multiLevelType w:val="hybridMultilevel"/>
    <w:tmpl w:val="20E422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01AE"/>
    <w:multiLevelType w:val="hybridMultilevel"/>
    <w:tmpl w:val="6352AA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164784"/>
    <w:multiLevelType w:val="hybridMultilevel"/>
    <w:tmpl w:val="A68CC8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D91"/>
    <w:rsid w:val="0000481A"/>
    <w:rsid w:val="0002659D"/>
    <w:rsid w:val="000B1DA3"/>
    <w:rsid w:val="00271679"/>
    <w:rsid w:val="002B6FA1"/>
    <w:rsid w:val="002F7D91"/>
    <w:rsid w:val="0034771A"/>
    <w:rsid w:val="003663FB"/>
    <w:rsid w:val="003B753C"/>
    <w:rsid w:val="004738D4"/>
    <w:rsid w:val="004F4566"/>
    <w:rsid w:val="005C7732"/>
    <w:rsid w:val="005D56F6"/>
    <w:rsid w:val="0085087A"/>
    <w:rsid w:val="00860B71"/>
    <w:rsid w:val="00951940"/>
    <w:rsid w:val="00954BDA"/>
    <w:rsid w:val="009A7905"/>
    <w:rsid w:val="00A0580C"/>
    <w:rsid w:val="00A273FC"/>
    <w:rsid w:val="00A340B5"/>
    <w:rsid w:val="00A4633D"/>
    <w:rsid w:val="00AF7725"/>
    <w:rsid w:val="00B12D77"/>
    <w:rsid w:val="00B36CE3"/>
    <w:rsid w:val="00B5467B"/>
    <w:rsid w:val="00B65B95"/>
    <w:rsid w:val="00C52084"/>
    <w:rsid w:val="00CF6B23"/>
    <w:rsid w:val="00D74A47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4FBB2D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5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954B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qFormat/>
    <w:rsid w:val="00954B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F7D91"/>
  </w:style>
  <w:style w:type="character" w:styleId="Strong">
    <w:name w:val="Strong"/>
    <w:qFormat/>
    <w:rsid w:val="002F7D91"/>
    <w:rPr>
      <w:b/>
      <w:bCs/>
    </w:rPr>
  </w:style>
  <w:style w:type="character" w:styleId="Hyperlink">
    <w:name w:val="Hyperlink"/>
    <w:rsid w:val="002B6FA1"/>
    <w:rPr>
      <w:color w:val="0000FF"/>
      <w:u w:val="single"/>
    </w:rPr>
  </w:style>
  <w:style w:type="paragraph" w:styleId="NormalWeb">
    <w:name w:val="Normal (Web)"/>
    <w:basedOn w:val="Normal"/>
    <w:rsid w:val="00A340B5"/>
    <w:pPr>
      <w:spacing w:before="100" w:beforeAutospacing="1" w:after="100" w:afterAutospacing="1"/>
    </w:pPr>
  </w:style>
  <w:style w:type="character" w:styleId="FollowedHyperlink">
    <w:name w:val="FollowedHyperlink"/>
    <w:rsid w:val="00954BDA"/>
    <w:rPr>
      <w:color w:val="800080"/>
      <w:u w:val="single"/>
    </w:rPr>
  </w:style>
  <w:style w:type="character" w:customStyle="1" w:styleId="mw-headline">
    <w:name w:val="mw-headline"/>
    <w:basedOn w:val="DefaultParagraphFont"/>
    <w:rsid w:val="0095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sl.wikipedia.org/wiki/Evropska_uni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europa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e.eu.int/cms3_fo/index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javascript:nil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Links>
    <vt:vector size="24" baseType="variant">
      <vt:variant>
        <vt:i4>6160416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http://sl.wikipedia.org/wiki/Evropska_unija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http://europa.eu/</vt:lpwstr>
      </vt:variant>
      <vt:variant>
        <vt:lpwstr/>
      </vt:variant>
      <vt:variant>
        <vt:i4>6029351</vt:i4>
      </vt:variant>
      <vt:variant>
        <vt:i4>3</vt:i4>
      </vt:variant>
      <vt:variant>
        <vt:i4>0</vt:i4>
      </vt:variant>
      <vt:variant>
        <vt:i4>5</vt:i4>
      </vt:variant>
      <vt:variant>
        <vt:lpwstr>http://ue.eu.int/cms3_fo/index.asp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javascript:nil()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