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320" w:rsidRDefault="00FC1320">
      <w:pPr>
        <w:jc w:val="center"/>
        <w:rPr>
          <w:sz w:val="40"/>
        </w:rPr>
      </w:pPr>
      <w:bookmarkStart w:id="0" w:name="_GoBack"/>
      <w:bookmarkEnd w:id="0"/>
    </w:p>
    <w:p w:rsidR="00FC1320" w:rsidRDefault="00FC1320">
      <w:pPr>
        <w:jc w:val="center"/>
      </w:pPr>
    </w:p>
    <w:p w:rsidR="00FC1320" w:rsidRDefault="00FC1320">
      <w:pPr>
        <w:jc w:val="center"/>
        <w:rPr>
          <w:sz w:val="40"/>
        </w:rPr>
      </w:pPr>
    </w:p>
    <w:p w:rsidR="00FC1320" w:rsidRDefault="00FC1320">
      <w:pPr>
        <w:jc w:val="center"/>
        <w:rPr>
          <w:sz w:val="40"/>
        </w:rPr>
      </w:pPr>
    </w:p>
    <w:p w:rsidR="00FC1320" w:rsidRDefault="00FC1320">
      <w:pPr>
        <w:jc w:val="center"/>
        <w:rPr>
          <w:sz w:val="40"/>
        </w:rPr>
      </w:pPr>
    </w:p>
    <w:p w:rsidR="00FC1320" w:rsidRDefault="00FC1320">
      <w:pPr>
        <w:jc w:val="center"/>
        <w:rPr>
          <w:sz w:val="40"/>
        </w:rPr>
      </w:pPr>
    </w:p>
    <w:p w:rsidR="00FC1320" w:rsidRDefault="00FC1320">
      <w:pPr>
        <w:jc w:val="center"/>
        <w:rPr>
          <w:sz w:val="40"/>
        </w:rPr>
      </w:pPr>
    </w:p>
    <w:p w:rsidR="00FC1320" w:rsidRDefault="00FC1320">
      <w:pPr>
        <w:jc w:val="center"/>
        <w:rPr>
          <w:sz w:val="40"/>
        </w:rPr>
      </w:pPr>
    </w:p>
    <w:p w:rsidR="00FC1320" w:rsidRDefault="00FC1320">
      <w:pPr>
        <w:jc w:val="center"/>
        <w:rPr>
          <w:sz w:val="40"/>
        </w:rPr>
      </w:pPr>
    </w:p>
    <w:p w:rsidR="00FC1320" w:rsidRDefault="00FC1320">
      <w:pPr>
        <w:jc w:val="center"/>
        <w:rPr>
          <w:rFonts w:ascii="Arial" w:hAnsi="Arial" w:cs="Arial"/>
          <w:sz w:val="40"/>
        </w:rPr>
      </w:pPr>
    </w:p>
    <w:p w:rsidR="00FC1320" w:rsidRDefault="00FC1320">
      <w:pPr>
        <w:jc w:val="center"/>
        <w:rPr>
          <w:rFonts w:ascii="Arial" w:hAnsi="Arial" w:cs="Arial"/>
          <w:sz w:val="40"/>
        </w:rPr>
      </w:pPr>
    </w:p>
    <w:p w:rsidR="00FC1320" w:rsidRDefault="00FC1320">
      <w:pPr>
        <w:jc w:val="center"/>
        <w:rPr>
          <w:rFonts w:ascii="Arial" w:hAnsi="Arial" w:cs="Arial"/>
          <w:sz w:val="40"/>
        </w:rPr>
      </w:pPr>
    </w:p>
    <w:p w:rsidR="00FC1320" w:rsidRPr="00C96AF6" w:rsidRDefault="002B5B27">
      <w:pPr>
        <w:pStyle w:val="BodyText"/>
        <w:rPr>
          <w:rFonts w:ascii="Arial" w:hAnsi="Arial" w:cs="Arial"/>
          <w:sz w:val="44"/>
        </w:rPr>
      </w:pPr>
      <w:r w:rsidRPr="00C96AF6">
        <w:rPr>
          <w:rFonts w:ascii="Arial" w:hAnsi="Arial" w:cs="Arial"/>
          <w:sz w:val="44"/>
        </w:rPr>
        <w:t>HIDROGRAFSKE ZNAČILNOSTI MORJA OB SLOVENSKI OBALI</w:t>
      </w:r>
    </w:p>
    <w:p w:rsidR="00FC1320" w:rsidRDefault="00FC1320">
      <w:pPr>
        <w:pStyle w:val="BodyText"/>
        <w:rPr>
          <w:rFonts w:ascii="Arial" w:hAnsi="Arial" w:cs="Arial"/>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2B5B27">
      <w:pPr>
        <w:pStyle w:val="BodyText"/>
        <w:rPr>
          <w:rFonts w:ascii="Arial" w:hAnsi="Arial" w:cs="Arial"/>
          <w:sz w:val="20"/>
        </w:rPr>
      </w:pPr>
      <w:r>
        <w:rPr>
          <w:rFonts w:ascii="Arial" w:hAnsi="Arial" w:cs="Arial"/>
          <w:sz w:val="20"/>
        </w:rPr>
        <w:t xml:space="preserve">          </w:t>
      </w: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2B5B27">
      <w:pPr>
        <w:pStyle w:val="BodyText"/>
        <w:jc w:val="right"/>
        <w:rPr>
          <w:rFonts w:ascii="Arial" w:hAnsi="Arial" w:cs="Arial"/>
          <w:sz w:val="20"/>
        </w:rPr>
      </w:pPr>
      <w:r>
        <w:rPr>
          <w:rFonts w:ascii="Arial" w:hAnsi="Arial" w:cs="Arial"/>
          <w:sz w:val="20"/>
        </w:rPr>
        <w:t xml:space="preserve"> </w:t>
      </w: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FC1320">
      <w:pPr>
        <w:pStyle w:val="BodyText"/>
        <w:jc w:val="right"/>
        <w:rPr>
          <w:rFonts w:ascii="Arial" w:hAnsi="Arial" w:cs="Arial"/>
          <w:sz w:val="20"/>
        </w:rPr>
      </w:pPr>
    </w:p>
    <w:p w:rsidR="00FC1320" w:rsidRDefault="00023539">
      <w:pPr>
        <w:pStyle w:val="BodyText"/>
        <w:jc w:val="right"/>
        <w:rPr>
          <w:rFonts w:ascii="Arial" w:hAnsi="Arial" w:cs="Arial"/>
          <w:sz w:val="20"/>
        </w:rPr>
      </w:pPr>
      <w:r>
        <w:rPr>
          <w:rFonts w:ascii="Arial" w:hAnsi="Arial" w:cs="Arial"/>
          <w:sz w:val="20"/>
        </w:rPr>
        <w:t xml:space="preserve"> </w:t>
      </w:r>
    </w:p>
    <w:p w:rsidR="00FC1320" w:rsidRDefault="00FC1320">
      <w:pPr>
        <w:pStyle w:val="BodyText"/>
        <w:rPr>
          <w:rFonts w:ascii="Arial" w:hAnsi="Arial" w:cs="Arial"/>
          <w:sz w:val="20"/>
        </w:rPr>
      </w:pPr>
    </w:p>
    <w:p w:rsidR="00FC1320" w:rsidRDefault="00FC1320">
      <w:pPr>
        <w:pStyle w:val="BodyText"/>
        <w:rPr>
          <w:rFonts w:ascii="Arial" w:hAnsi="Arial" w:cs="Arial"/>
          <w:sz w:val="20"/>
        </w:rPr>
      </w:pPr>
    </w:p>
    <w:p w:rsidR="00FC1320" w:rsidRDefault="002B5B27">
      <w:pPr>
        <w:pStyle w:val="BodyText"/>
        <w:jc w:val="left"/>
        <w:rPr>
          <w:rFonts w:ascii="Arial" w:hAnsi="Arial" w:cs="Arial"/>
          <w:b/>
          <w:bCs/>
          <w:sz w:val="22"/>
        </w:rPr>
      </w:pPr>
      <w:r>
        <w:rPr>
          <w:rFonts w:ascii="Arial" w:hAnsi="Arial" w:cs="Arial"/>
          <w:b/>
          <w:bCs/>
          <w:sz w:val="22"/>
        </w:rPr>
        <w:t>UVOD:</w:t>
      </w:r>
    </w:p>
    <w:p w:rsidR="00FC1320" w:rsidRDefault="00FC1320">
      <w:pPr>
        <w:autoSpaceDE w:val="0"/>
        <w:autoSpaceDN w:val="0"/>
        <w:adjustRightInd w:val="0"/>
        <w:rPr>
          <w:rFonts w:ascii="Arial" w:hAnsi="Arial" w:cs="Arial"/>
          <w:sz w:val="22"/>
          <w:szCs w:val="22"/>
        </w:rPr>
      </w:pPr>
    </w:p>
    <w:p w:rsidR="00FC1320" w:rsidRDefault="002B5B27">
      <w:pPr>
        <w:autoSpaceDE w:val="0"/>
        <w:autoSpaceDN w:val="0"/>
        <w:adjustRightInd w:val="0"/>
        <w:rPr>
          <w:rFonts w:ascii="Arial" w:hAnsi="Arial" w:cs="Arial"/>
          <w:sz w:val="22"/>
          <w:szCs w:val="22"/>
        </w:rPr>
      </w:pPr>
      <w:r>
        <w:rPr>
          <w:rFonts w:ascii="Arial" w:hAnsi="Arial" w:cs="Arial"/>
          <w:sz w:val="22"/>
          <w:szCs w:val="22"/>
        </w:rPr>
        <w:t>Tržaški zaliv je najsevernejši del Jadranskega morja. Z njim se Jadransko morje najbolj približa srednji Evropi in kot tak ima izredno veliko gospodarsko vlogo za Slovenijo in sosednje države. Na obalah Tržaškega zaliva je tudi edina slovenska obmorska pokrajina.</w:t>
      </w:r>
    </w:p>
    <w:p w:rsidR="00FC1320" w:rsidRDefault="002B5B27">
      <w:pPr>
        <w:autoSpaceDE w:val="0"/>
        <w:autoSpaceDN w:val="0"/>
        <w:adjustRightInd w:val="0"/>
        <w:rPr>
          <w:rFonts w:ascii="Arial" w:hAnsi="Arial" w:cs="Arial"/>
          <w:sz w:val="22"/>
          <w:szCs w:val="22"/>
        </w:rPr>
      </w:pPr>
      <w:r>
        <w:rPr>
          <w:rFonts w:ascii="Arial" w:hAnsi="Arial" w:cs="Arial"/>
          <w:sz w:val="22"/>
          <w:szCs w:val="22"/>
        </w:rPr>
        <w:t xml:space="preserve">Jadransko morje je del Sredozemskega morja, ki se med Apeninskim, na zahodu, in Balkanskim polotokom, na vzhodu, v dinarski smeri globoko zajeda v Evropo. Od 43. vzporednika navzgor ga označujemo kot severni Jadran, katerega najsevernejši del je Tržaški zaliv. S Tržaškim zalivom se Jadransko morje tudi najbolj približa srednji Evropi. </w:t>
      </w:r>
    </w:p>
    <w:p w:rsidR="00FC1320" w:rsidRDefault="002B5B27">
      <w:pPr>
        <w:rPr>
          <w:rFonts w:ascii="Arial" w:hAnsi="Arial" w:cs="Arial"/>
          <w:color w:val="000000"/>
          <w:sz w:val="22"/>
          <w:szCs w:val="22"/>
        </w:rPr>
      </w:pPr>
      <w:r>
        <w:rPr>
          <w:rFonts w:ascii="Arial" w:hAnsi="Arial" w:cs="Arial"/>
          <w:color w:val="000000"/>
          <w:sz w:val="22"/>
          <w:szCs w:val="22"/>
        </w:rPr>
        <w:t xml:space="preserve">Pomorska meja med Italijo in Jugoslavijo je bila določena z Osimskimi sporazumi, ki so veljavni od leta 1977. Slovenija je po osamosvojitvi pravna naslednica teh sporazumov od 31. 7. 1992. Nedoločena pa je še morska meja med Hrvaško in Slovenijo. Za Slovenijo je ureditev morske meje zelo pomembna, saj je od tega odvisen njen dostop do odprtega morja. </w:t>
      </w:r>
    </w:p>
    <w:p w:rsidR="00FC1320" w:rsidRDefault="002B5B27">
      <w:pPr>
        <w:pStyle w:val="BodyText3"/>
        <w:rPr>
          <w:sz w:val="22"/>
        </w:rPr>
      </w:pPr>
      <w:r>
        <w:rPr>
          <w:sz w:val="22"/>
        </w:rPr>
        <w:t xml:space="preserve">Podvodna priobalna ravnica istrskega zaliva je večinoma kamnita in le ponekod prodnata ali peščena. Zaradi strmih obal, ki so pogosto oblikovane v klife, je kopno z morja na nekaterih mestih težko dostopno. Ta težka dostopnost na slovenski obali je od Lazareta do Valdoltre, od Simonovega zaliva v Izoli do Strunjana, od Pacuga do Fiese, od avtokampa v Luciji do starega izliva reke Dragonje. Obalo sestavlja eocenski fliš, njene največje prekinitve pa so ob izlivu rek v morje. Te reke so Rižana in Badaševica pri Kopru, Strunjanski potok, Fazan pri Luciji, Dragonja s Sečoveljskimi solinami. Edini primer apneniške obale v Sloveniji je pri Izoli. Ob apneniških obalah je delež peska v sedimentnem dnu priobalne podvodne terase večji kot ob flišnih obalah.  </w:t>
      </w:r>
    </w:p>
    <w:p w:rsidR="00FC1320" w:rsidRDefault="002B5B27">
      <w:pPr>
        <w:pStyle w:val="BodyText3"/>
        <w:rPr>
          <w:sz w:val="22"/>
        </w:rPr>
      </w:pPr>
      <w:r>
        <w:rPr>
          <w:sz w:val="22"/>
        </w:rPr>
        <w:t xml:space="preserve">Za slovenski del obalne črte je značilno, da je le še petina obale nepozidane in naravne. Priobalno morje sestavljata v bistvu le dva večja zaliva, Koprski in Piranski. Pomembna sta še dva manjša zaliva, na obeh straneh najbolj slikovitega in koničastega piranskega polotoka, Strunjanski in Portoroški. Vsi drugi zalivi so precej manjši in manj globoko vrezani v kopno. </w:t>
      </w:r>
    </w:p>
    <w:p w:rsidR="00FC1320" w:rsidRDefault="00FC1320">
      <w:pPr>
        <w:autoSpaceDE w:val="0"/>
        <w:autoSpaceDN w:val="0"/>
        <w:adjustRightInd w:val="0"/>
        <w:rPr>
          <w:rFonts w:ascii="Arial" w:hAnsi="Arial" w:cs="Arial"/>
          <w:sz w:val="22"/>
          <w:szCs w:val="20"/>
        </w:rPr>
      </w:pPr>
    </w:p>
    <w:p w:rsidR="00FC1320" w:rsidRDefault="00FC1320">
      <w:pPr>
        <w:rPr>
          <w:rFonts w:ascii="Arial" w:hAnsi="Arial" w:cs="Arial"/>
          <w:color w:val="000000"/>
          <w:sz w:val="22"/>
          <w:szCs w:val="22"/>
        </w:rPr>
        <w:sectPr w:rsidR="00FC132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pPr>
    </w:p>
    <w:p w:rsidR="00FC1320" w:rsidRDefault="002B5B27">
      <w:pPr>
        <w:pStyle w:val="Heading3"/>
        <w:numPr>
          <w:ilvl w:val="1"/>
          <w:numId w:val="1"/>
        </w:numPr>
        <w:ind w:left="720" w:hanging="720"/>
        <w:rPr>
          <w:rFonts w:cs="Arial"/>
          <w:b/>
          <w:bCs/>
          <w:sz w:val="22"/>
        </w:rPr>
      </w:pPr>
      <w:r>
        <w:rPr>
          <w:rFonts w:cs="Arial"/>
          <w:b/>
          <w:bCs/>
          <w:sz w:val="22"/>
        </w:rPr>
        <w:lastRenderedPageBreak/>
        <w:t xml:space="preserve">Temperatura morja </w:t>
      </w:r>
    </w:p>
    <w:p w:rsidR="00FC1320" w:rsidRDefault="00FC1320">
      <w:pPr>
        <w:pStyle w:val="Default"/>
        <w:jc w:val="both"/>
        <w:rPr>
          <w:sz w:val="22"/>
          <w:szCs w:val="23"/>
        </w:rPr>
      </w:pPr>
    </w:p>
    <w:p w:rsidR="00FC1320" w:rsidRDefault="002B5B27">
      <w:pPr>
        <w:rPr>
          <w:rFonts w:ascii="Arial" w:hAnsi="Arial" w:cs="Arial"/>
          <w:color w:val="000000"/>
          <w:sz w:val="22"/>
        </w:rPr>
      </w:pPr>
      <w:r>
        <w:rPr>
          <w:rFonts w:ascii="Arial" w:hAnsi="Arial" w:cs="Arial"/>
          <w:color w:val="000000"/>
          <w:sz w:val="22"/>
        </w:rPr>
        <w:t>Povprečne mesečne temperature morja so praviloma vedno višje od povprečnih mesečnih temperatur zraka, in to od največje razlike 5,3 ºC v novembru, do najmanj 0,2 ºC v maju. Povprečna letna temperatura morja v Piranu (1976−1985) je 15,8 ºC in je za 2,4 ºC toplejša od povprečne letne temperature zraka. Razlike so največje od oktobra do januarja, ko je morje v povprečju za 4,4 ºC toplejše. Razlika med povprečno julijsko in februarsko temperaturo je 15,9 ºC. Za temperaturo zraka je pomembno, da se spomladi morje počasi ogreva, jeseni pa počasi ohlaja. Temperatura morja doseže svoje najvišje vrednosti dva meseca za ustreznima solsticijema. Od sredine junija do začetka oktobra se srednja dnevna temperatura morja ne zniža pod 20 ºC. To obdobje traja običajno več kot 110 dni. Od konca marca pa tja do začetka januarja se srednja dnevna temperatura ne zniža pod 10 °C. To se pravi, da je temperatura le okoli 80 dni pod 10 °C.</w:t>
      </w:r>
    </w:p>
    <w:p w:rsidR="00FC1320" w:rsidRDefault="00FC1320">
      <w:pPr>
        <w:pStyle w:val="Default"/>
        <w:jc w:val="both"/>
        <w:rPr>
          <w:color w:val="auto"/>
          <w:sz w:val="22"/>
          <w:szCs w:val="22"/>
        </w:rPr>
      </w:pPr>
    </w:p>
    <w:p w:rsidR="00FC1320" w:rsidRDefault="002B5B27">
      <w:pPr>
        <w:pStyle w:val="Heading4"/>
        <w:numPr>
          <w:ilvl w:val="0"/>
          <w:numId w:val="2"/>
        </w:numPr>
        <w:ind w:left="864" w:hanging="864"/>
        <w:rPr>
          <w:rFonts w:cs="Arial"/>
          <w:b/>
          <w:bCs/>
          <w:sz w:val="22"/>
          <w:szCs w:val="22"/>
        </w:rPr>
      </w:pPr>
      <w:r>
        <w:rPr>
          <w:rFonts w:cs="Arial"/>
          <w:b/>
          <w:bCs/>
          <w:sz w:val="22"/>
          <w:szCs w:val="22"/>
        </w:rPr>
        <w:t xml:space="preserve">Podnebje </w:t>
      </w:r>
    </w:p>
    <w:p w:rsidR="00FC1320" w:rsidRDefault="00FC1320">
      <w:pPr>
        <w:pStyle w:val="Default"/>
        <w:jc w:val="both"/>
        <w:rPr>
          <w:color w:val="auto"/>
          <w:sz w:val="22"/>
          <w:szCs w:val="22"/>
        </w:rPr>
      </w:pPr>
    </w:p>
    <w:p w:rsidR="00FC1320" w:rsidRDefault="002B5B27">
      <w:pPr>
        <w:rPr>
          <w:rFonts w:ascii="Arial" w:hAnsi="Arial" w:cs="Arial"/>
          <w:sz w:val="22"/>
          <w:szCs w:val="22"/>
        </w:rPr>
      </w:pPr>
      <w:r>
        <w:rPr>
          <w:rFonts w:ascii="Arial" w:hAnsi="Arial" w:cs="Arial"/>
          <w:sz w:val="22"/>
          <w:szCs w:val="22"/>
        </w:rPr>
        <w:t xml:space="preserve">Tržaški zaliv ima značilnosti prehodnega tipa podnebja, ker se tu stikajo sredozemski in celinski podnebni vplivi. V strokovni literaturi se je za to podnebje uveljavil termin submediteransko oziroma omiljeno sredozemsko podnebje. </w:t>
      </w:r>
    </w:p>
    <w:p w:rsidR="00FC1320" w:rsidRDefault="002B5B27">
      <w:pPr>
        <w:pStyle w:val="Heading4"/>
        <w:numPr>
          <w:ilvl w:val="0"/>
          <w:numId w:val="3"/>
        </w:numPr>
        <w:ind w:left="864" w:hanging="864"/>
        <w:rPr>
          <w:rFonts w:cs="Arial"/>
          <w:b/>
          <w:bCs/>
          <w:sz w:val="22"/>
          <w:szCs w:val="22"/>
        </w:rPr>
      </w:pPr>
      <w:r>
        <w:rPr>
          <w:rFonts w:cs="Arial"/>
          <w:b/>
          <w:bCs/>
          <w:sz w:val="22"/>
          <w:szCs w:val="22"/>
        </w:rPr>
        <w:t xml:space="preserve">Globinska razporeditev temperatur </w:t>
      </w:r>
    </w:p>
    <w:p w:rsidR="00FC1320" w:rsidRDefault="00FC1320">
      <w:pPr>
        <w:pStyle w:val="Default"/>
        <w:jc w:val="both"/>
        <w:rPr>
          <w:color w:val="auto"/>
          <w:sz w:val="22"/>
          <w:szCs w:val="22"/>
        </w:rPr>
      </w:pPr>
    </w:p>
    <w:p w:rsidR="00FC1320" w:rsidRDefault="002B5B27">
      <w:pPr>
        <w:pStyle w:val="Tabela"/>
        <w:autoSpaceDE/>
        <w:autoSpaceDN/>
        <w:adjustRightInd/>
        <w:rPr>
          <w:rFonts w:cs="Arial"/>
          <w:sz w:val="22"/>
          <w:szCs w:val="22"/>
        </w:rPr>
      </w:pPr>
      <w:r>
        <w:rPr>
          <w:rFonts w:cs="Arial"/>
          <w:sz w:val="22"/>
          <w:szCs w:val="22"/>
        </w:rPr>
        <w:t xml:space="preserve">Od decembra do maja so med morsko gladino in dnom razmeroma majhne temperaturne razlike. V toplejši polovici leta se začne postopoma uveljavljati vedno večja in bolj opazna razlika v globinski razporeditvi temperatur. Značilen je oster preskok temperature, ko se le v malo globljem morju temperatura morja zniža za več stopinj (termoklina). Proti poletju se globina temperaturnega preskoka poglablja in pozimi znižuje. </w:t>
      </w:r>
    </w:p>
    <w:p w:rsidR="00FC1320" w:rsidRDefault="002B5B27">
      <w:pPr>
        <w:rPr>
          <w:rFonts w:ascii="Arial" w:hAnsi="Arial" w:cs="Arial"/>
          <w:sz w:val="22"/>
          <w:szCs w:val="22"/>
        </w:rPr>
      </w:pPr>
      <w:r>
        <w:rPr>
          <w:rFonts w:ascii="Arial" w:hAnsi="Arial" w:cs="Arial"/>
          <w:sz w:val="22"/>
          <w:szCs w:val="22"/>
        </w:rPr>
        <w:t xml:space="preserve">Kadar je poletje zelo vroče, lahko segreta vrhnja plast doseže tudi dno osrednje kadunje. V poletnem času, ob dolgotrajnem deževju, močnih nevihtah in burji, ki odriva od obal toplejšo površinsko plast vode, lahko prihaja na površje hladnejša globinska voda. To se zgodi le ob izjemnih »hudih urah«. Možne so hitre ohladitve morja za 3 in več stopinj. Najnižja izmerjena temperatura morja v Kopru je bila 1,6 ºC (10.februarja 1956), najvišja pa 28,6 ºC (2. avgust 1958). </w:t>
      </w:r>
    </w:p>
    <w:p w:rsidR="00FC1320" w:rsidRDefault="002B5B27">
      <w:pPr>
        <w:rPr>
          <w:rFonts w:ascii="Arial" w:hAnsi="Arial" w:cs="Arial"/>
          <w:sz w:val="22"/>
          <w:szCs w:val="22"/>
        </w:rPr>
      </w:pPr>
      <w:r>
        <w:rPr>
          <w:rFonts w:ascii="Arial" w:hAnsi="Arial" w:cs="Arial"/>
          <w:sz w:val="22"/>
          <w:szCs w:val="22"/>
        </w:rPr>
        <w:t xml:space="preserve">Zaradi mešanja morske in sladke vode se ponekod ob obali temperatura morja lahko zniža pod ledišče in pojavi se tanjša ledena skorja, zlasti ob rečnih izlivih. Posledica močne ohladitve celotne vodne mase je množičen pogin lignjev, brancinov, orad, ribonov in salp. </w:t>
      </w:r>
    </w:p>
    <w:p w:rsidR="00FC1320" w:rsidRDefault="002B5B27">
      <w:pPr>
        <w:rPr>
          <w:rFonts w:ascii="Arial" w:hAnsi="Arial" w:cs="Arial"/>
          <w:sz w:val="22"/>
          <w:szCs w:val="22"/>
        </w:rPr>
      </w:pPr>
      <w:r>
        <w:rPr>
          <w:rFonts w:ascii="Arial" w:hAnsi="Arial" w:cs="Arial"/>
          <w:sz w:val="22"/>
          <w:szCs w:val="22"/>
        </w:rPr>
        <w:t xml:space="preserve">Na temperature vode severnega Jadrana imajo velik učinek seveda tudi vetrovi. Ob normalnih pogojih se temperatura morja od enega do drugega dne le malo spremeni. Temperaturnih skokov navzgor (naglo ogrevanje) skoraj ni. Pogoste pa so nagle in občutne ohladitve morja, ki jih ob naši obali povzroča burja, ki se v sunkih zaganja s kopnega in odriva relativno toplejšo površinsko vodo od obale. Ob takih situacijah nastaja kompenzacijski ascendentni tok, ki dovaja hladnejšo globinsko vodo na površje. Tako je npr. 9. februarja 1956 okoli 13. ure pričela v Kopru pihati burja, ki je ob 17. uri dosegla jakost 7 po Beaufort-ovi skali (50−61 km/h). Temu ustrezno se je spreminjala temperatura morja, ki je tega dne ob 11. uri znašala 5,1 ºC , naslednjega dne ob isti uri še 1,8 ºC, a ob 19. uri 1,6 ºC (mesečni terminski minimum). Čim je burja popustila, je začela temperatura morja naraščati. </w:t>
      </w:r>
    </w:p>
    <w:p w:rsidR="00FC1320" w:rsidRDefault="002B5B27">
      <w:pPr>
        <w:rPr>
          <w:rFonts w:ascii="Arial" w:hAnsi="Arial" w:cs="Arial"/>
          <w:sz w:val="22"/>
          <w:szCs w:val="22"/>
        </w:rPr>
      </w:pPr>
      <w:r>
        <w:rPr>
          <w:rFonts w:ascii="Arial" w:hAnsi="Arial" w:cs="Arial"/>
          <w:sz w:val="22"/>
          <w:szCs w:val="22"/>
        </w:rPr>
        <w:t xml:space="preserve">Razlike med temperaturnimi povprečji istih mesecev, ki izvirajo iz različnih opazovalnih obdobij in različnih točk opazovanja, so majhne in zanemarljive, zlasti še, če primerjamo dolgoletna letna povprečja. </w:t>
      </w:r>
    </w:p>
    <w:p w:rsidR="00FC1320" w:rsidRDefault="002B5B27">
      <w:pPr>
        <w:rPr>
          <w:rFonts w:ascii="Arial" w:hAnsi="Arial" w:cs="Arial"/>
          <w:sz w:val="22"/>
          <w:szCs w:val="22"/>
        </w:rPr>
      </w:pPr>
      <w:r>
        <w:rPr>
          <w:rFonts w:ascii="Arial" w:hAnsi="Arial" w:cs="Arial"/>
          <w:sz w:val="22"/>
          <w:szCs w:val="22"/>
        </w:rPr>
        <w:t xml:space="preserve">Največje razlike med mesečnimi temperaturnimi povprečji ugotavljamo za maj. Ko proučujemo temperaturo pri Kopru-Semedela in Piranu, ugotovimo, da je bilo v obdobju 1958−65 pri Semedeli morje najtoplejše, najhladnejše pa v Piranu v obdobju 1976−1985. </w:t>
      </w:r>
    </w:p>
    <w:p w:rsidR="00FC1320" w:rsidRDefault="002B5B27">
      <w:pPr>
        <w:rPr>
          <w:rFonts w:ascii="Arial" w:hAnsi="Arial" w:cs="Arial"/>
          <w:sz w:val="22"/>
          <w:szCs w:val="22"/>
        </w:rPr>
      </w:pPr>
      <w:r>
        <w:rPr>
          <w:rFonts w:ascii="Arial" w:hAnsi="Arial" w:cs="Arial"/>
          <w:sz w:val="22"/>
          <w:szCs w:val="22"/>
        </w:rPr>
        <w:lastRenderedPageBreak/>
        <w:t xml:space="preserve">Za mesec maj je ob našem morju značilno, da je lahko še zelo hladen, deževen in vetroven, lahko pa je že zelo poletno topel, suh in miren. Nedvomno zavisi temperatura morja tudi od tega, kakšen majski oz. pomladanski tip vremena je prevladoval in kolikokrat v posameznem nizu. </w:t>
      </w:r>
    </w:p>
    <w:p w:rsidR="00FC1320" w:rsidRDefault="00FC1320">
      <w:pPr>
        <w:rPr>
          <w:rFonts w:ascii="Arial" w:hAnsi="Arial" w:cs="Arial"/>
          <w:sz w:val="22"/>
          <w:szCs w:val="22"/>
        </w:rPr>
      </w:pPr>
    </w:p>
    <w:p w:rsidR="00FC1320" w:rsidRDefault="00FC1320">
      <w:pPr>
        <w:rPr>
          <w:rFonts w:ascii="Arial" w:hAnsi="Arial" w:cs="Arial"/>
          <w:sz w:val="22"/>
          <w:szCs w:val="22"/>
        </w:rPr>
      </w:pPr>
    </w:p>
    <w:p w:rsidR="00FC1320" w:rsidRDefault="00FC1320">
      <w:pPr>
        <w:pStyle w:val="Default"/>
        <w:jc w:val="both"/>
        <w:rPr>
          <w:color w:val="auto"/>
          <w:sz w:val="22"/>
        </w:rPr>
      </w:pPr>
    </w:p>
    <w:p w:rsidR="00FC1320" w:rsidRDefault="00FC132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2386"/>
        <w:gridCol w:w="2387"/>
      </w:tblGrid>
      <w:tr w:rsidR="00FC1320">
        <w:trPr>
          <w:cantSplit/>
        </w:trPr>
        <w:tc>
          <w:tcPr>
            <w:tcW w:w="2386" w:type="dxa"/>
          </w:tcPr>
          <w:p w:rsidR="00FC1320" w:rsidRDefault="002B5B27">
            <w:pPr>
              <w:rPr>
                <w:rFonts w:ascii="Arial" w:hAnsi="Arial" w:cs="Arial"/>
                <w:b/>
                <w:bCs/>
                <w:sz w:val="22"/>
              </w:rPr>
            </w:pPr>
            <w:r>
              <w:rPr>
                <w:rFonts w:ascii="Arial" w:hAnsi="Arial" w:cs="Arial"/>
                <w:b/>
                <w:bCs/>
                <w:sz w:val="22"/>
              </w:rPr>
              <w:t>mesec</w:t>
            </w:r>
          </w:p>
        </w:tc>
        <w:tc>
          <w:tcPr>
            <w:tcW w:w="2386" w:type="dxa"/>
          </w:tcPr>
          <w:p w:rsidR="00FC1320" w:rsidRDefault="002B5B27">
            <w:pPr>
              <w:rPr>
                <w:rFonts w:ascii="Arial" w:hAnsi="Arial" w:cs="Arial"/>
                <w:b/>
                <w:bCs/>
                <w:sz w:val="22"/>
              </w:rPr>
            </w:pPr>
            <w:r>
              <w:rPr>
                <w:rFonts w:ascii="Arial" w:hAnsi="Arial" w:cs="Arial"/>
                <w:b/>
                <w:bCs/>
                <w:sz w:val="22"/>
              </w:rPr>
              <w:t>Semedela(1958-65)</w:t>
            </w:r>
          </w:p>
        </w:tc>
        <w:tc>
          <w:tcPr>
            <w:tcW w:w="2387" w:type="dxa"/>
          </w:tcPr>
          <w:p w:rsidR="00FC1320" w:rsidRDefault="002B5B27">
            <w:pPr>
              <w:rPr>
                <w:rFonts w:ascii="Arial" w:hAnsi="Arial" w:cs="Arial"/>
                <w:b/>
                <w:bCs/>
                <w:sz w:val="22"/>
              </w:rPr>
            </w:pPr>
            <w:r>
              <w:rPr>
                <w:rFonts w:ascii="Arial" w:hAnsi="Arial" w:cs="Arial"/>
                <w:b/>
                <w:bCs/>
                <w:sz w:val="22"/>
              </w:rPr>
              <w:t>Piran(1976-85)</w:t>
            </w:r>
          </w:p>
        </w:tc>
      </w:tr>
      <w:tr w:rsidR="00FC1320">
        <w:trPr>
          <w:cantSplit/>
        </w:trPr>
        <w:tc>
          <w:tcPr>
            <w:tcW w:w="2386" w:type="dxa"/>
          </w:tcPr>
          <w:p w:rsidR="00FC1320" w:rsidRDefault="002B5B27">
            <w:pPr>
              <w:rPr>
                <w:rFonts w:ascii="Arial" w:hAnsi="Arial" w:cs="Arial"/>
                <w:sz w:val="22"/>
              </w:rPr>
            </w:pPr>
            <w:r>
              <w:rPr>
                <w:rFonts w:ascii="Arial" w:hAnsi="Arial" w:cs="Arial"/>
                <w:sz w:val="22"/>
              </w:rPr>
              <w:t>Januar</w:t>
            </w:r>
          </w:p>
        </w:tc>
        <w:tc>
          <w:tcPr>
            <w:tcW w:w="2386" w:type="dxa"/>
          </w:tcPr>
          <w:p w:rsidR="00FC1320" w:rsidRDefault="002B5B27">
            <w:pPr>
              <w:rPr>
                <w:rFonts w:ascii="Arial" w:hAnsi="Arial" w:cs="Arial"/>
                <w:sz w:val="22"/>
              </w:rPr>
            </w:pPr>
            <w:r>
              <w:rPr>
                <w:rFonts w:ascii="Arial" w:hAnsi="Arial" w:cs="Arial"/>
                <w:sz w:val="22"/>
              </w:rPr>
              <w:t>9,1</w:t>
            </w:r>
          </w:p>
        </w:tc>
        <w:tc>
          <w:tcPr>
            <w:tcW w:w="2387" w:type="dxa"/>
          </w:tcPr>
          <w:p w:rsidR="00FC1320" w:rsidRDefault="002B5B27">
            <w:pPr>
              <w:rPr>
                <w:rFonts w:ascii="Arial" w:hAnsi="Arial" w:cs="Arial"/>
                <w:sz w:val="22"/>
              </w:rPr>
            </w:pPr>
            <w:r>
              <w:rPr>
                <w:rFonts w:ascii="Arial" w:hAnsi="Arial" w:cs="Arial"/>
                <w:sz w:val="22"/>
              </w:rPr>
              <w:t>8,9</w:t>
            </w:r>
          </w:p>
        </w:tc>
      </w:tr>
      <w:tr w:rsidR="00FC1320">
        <w:trPr>
          <w:cantSplit/>
        </w:trPr>
        <w:tc>
          <w:tcPr>
            <w:tcW w:w="2386" w:type="dxa"/>
          </w:tcPr>
          <w:p w:rsidR="00FC1320" w:rsidRDefault="002B5B27">
            <w:pPr>
              <w:rPr>
                <w:rFonts w:ascii="Arial" w:hAnsi="Arial" w:cs="Arial"/>
                <w:sz w:val="22"/>
              </w:rPr>
            </w:pPr>
            <w:r>
              <w:rPr>
                <w:rFonts w:ascii="Arial" w:hAnsi="Arial" w:cs="Arial"/>
                <w:sz w:val="22"/>
              </w:rPr>
              <w:t>Februar</w:t>
            </w:r>
          </w:p>
        </w:tc>
        <w:tc>
          <w:tcPr>
            <w:tcW w:w="2386" w:type="dxa"/>
          </w:tcPr>
          <w:p w:rsidR="00FC1320" w:rsidRDefault="002B5B27">
            <w:pPr>
              <w:rPr>
                <w:rFonts w:ascii="Arial" w:hAnsi="Arial" w:cs="Arial"/>
                <w:sz w:val="22"/>
              </w:rPr>
            </w:pPr>
            <w:r>
              <w:rPr>
                <w:rFonts w:ascii="Arial" w:hAnsi="Arial" w:cs="Arial"/>
                <w:sz w:val="22"/>
              </w:rPr>
              <w:t>7,9</w:t>
            </w:r>
          </w:p>
        </w:tc>
        <w:tc>
          <w:tcPr>
            <w:tcW w:w="2387" w:type="dxa"/>
          </w:tcPr>
          <w:p w:rsidR="00FC1320" w:rsidRDefault="002B5B27">
            <w:pPr>
              <w:rPr>
                <w:rFonts w:ascii="Arial" w:hAnsi="Arial" w:cs="Arial"/>
                <w:sz w:val="22"/>
              </w:rPr>
            </w:pPr>
            <w:r>
              <w:rPr>
                <w:rFonts w:ascii="Arial" w:hAnsi="Arial" w:cs="Arial"/>
                <w:sz w:val="22"/>
              </w:rPr>
              <w:t>8,1</w:t>
            </w:r>
          </w:p>
        </w:tc>
      </w:tr>
      <w:tr w:rsidR="00FC1320">
        <w:trPr>
          <w:cantSplit/>
        </w:trPr>
        <w:tc>
          <w:tcPr>
            <w:tcW w:w="2386" w:type="dxa"/>
          </w:tcPr>
          <w:p w:rsidR="00FC1320" w:rsidRDefault="002B5B27">
            <w:pPr>
              <w:rPr>
                <w:rFonts w:ascii="Arial" w:hAnsi="Arial" w:cs="Arial"/>
                <w:sz w:val="22"/>
              </w:rPr>
            </w:pPr>
            <w:r>
              <w:rPr>
                <w:rFonts w:ascii="Arial" w:hAnsi="Arial" w:cs="Arial"/>
                <w:sz w:val="22"/>
              </w:rPr>
              <w:t>Marec</w:t>
            </w:r>
          </w:p>
        </w:tc>
        <w:tc>
          <w:tcPr>
            <w:tcW w:w="2386" w:type="dxa"/>
          </w:tcPr>
          <w:p w:rsidR="00FC1320" w:rsidRDefault="002B5B27">
            <w:pPr>
              <w:rPr>
                <w:rFonts w:ascii="Arial" w:hAnsi="Arial" w:cs="Arial"/>
                <w:sz w:val="22"/>
              </w:rPr>
            </w:pPr>
            <w:r>
              <w:rPr>
                <w:rFonts w:ascii="Arial" w:hAnsi="Arial" w:cs="Arial"/>
                <w:sz w:val="22"/>
              </w:rPr>
              <w:t>9,1</w:t>
            </w:r>
          </w:p>
        </w:tc>
        <w:tc>
          <w:tcPr>
            <w:tcW w:w="2387" w:type="dxa"/>
          </w:tcPr>
          <w:p w:rsidR="00FC1320" w:rsidRDefault="002B5B27">
            <w:pPr>
              <w:rPr>
                <w:rFonts w:ascii="Arial" w:hAnsi="Arial" w:cs="Arial"/>
                <w:sz w:val="22"/>
              </w:rPr>
            </w:pPr>
            <w:r>
              <w:rPr>
                <w:rFonts w:ascii="Arial" w:hAnsi="Arial" w:cs="Arial"/>
                <w:sz w:val="22"/>
              </w:rPr>
              <w:t>9,1</w:t>
            </w:r>
          </w:p>
        </w:tc>
      </w:tr>
      <w:tr w:rsidR="00FC1320">
        <w:trPr>
          <w:cantSplit/>
        </w:trPr>
        <w:tc>
          <w:tcPr>
            <w:tcW w:w="2386" w:type="dxa"/>
          </w:tcPr>
          <w:p w:rsidR="00FC1320" w:rsidRDefault="002B5B27">
            <w:pPr>
              <w:rPr>
                <w:rFonts w:ascii="Arial" w:hAnsi="Arial" w:cs="Arial"/>
                <w:sz w:val="22"/>
              </w:rPr>
            </w:pPr>
            <w:r>
              <w:rPr>
                <w:rFonts w:ascii="Arial" w:hAnsi="Arial" w:cs="Arial"/>
                <w:sz w:val="22"/>
              </w:rPr>
              <w:t>April</w:t>
            </w:r>
          </w:p>
        </w:tc>
        <w:tc>
          <w:tcPr>
            <w:tcW w:w="2386" w:type="dxa"/>
          </w:tcPr>
          <w:p w:rsidR="00FC1320" w:rsidRDefault="002B5B27">
            <w:pPr>
              <w:rPr>
                <w:rFonts w:ascii="Arial" w:hAnsi="Arial" w:cs="Arial"/>
                <w:sz w:val="22"/>
              </w:rPr>
            </w:pPr>
            <w:r>
              <w:rPr>
                <w:rFonts w:ascii="Arial" w:hAnsi="Arial" w:cs="Arial"/>
                <w:sz w:val="22"/>
              </w:rPr>
              <w:t>12,3</w:t>
            </w:r>
          </w:p>
        </w:tc>
        <w:tc>
          <w:tcPr>
            <w:tcW w:w="2387" w:type="dxa"/>
          </w:tcPr>
          <w:p w:rsidR="00FC1320" w:rsidRDefault="002B5B27">
            <w:pPr>
              <w:rPr>
                <w:rFonts w:ascii="Arial" w:hAnsi="Arial" w:cs="Arial"/>
                <w:sz w:val="22"/>
              </w:rPr>
            </w:pPr>
            <w:r>
              <w:rPr>
                <w:rFonts w:ascii="Arial" w:hAnsi="Arial" w:cs="Arial"/>
                <w:sz w:val="22"/>
              </w:rPr>
              <w:t>11,8</w:t>
            </w:r>
          </w:p>
        </w:tc>
      </w:tr>
      <w:tr w:rsidR="00FC1320">
        <w:trPr>
          <w:cantSplit/>
        </w:trPr>
        <w:tc>
          <w:tcPr>
            <w:tcW w:w="2386" w:type="dxa"/>
          </w:tcPr>
          <w:p w:rsidR="00FC1320" w:rsidRDefault="002B5B27">
            <w:pPr>
              <w:rPr>
                <w:rFonts w:ascii="Arial" w:hAnsi="Arial" w:cs="Arial"/>
                <w:sz w:val="22"/>
              </w:rPr>
            </w:pPr>
            <w:r>
              <w:rPr>
                <w:rFonts w:ascii="Arial" w:hAnsi="Arial" w:cs="Arial"/>
                <w:sz w:val="22"/>
              </w:rPr>
              <w:t>Maj</w:t>
            </w:r>
          </w:p>
        </w:tc>
        <w:tc>
          <w:tcPr>
            <w:tcW w:w="2386" w:type="dxa"/>
          </w:tcPr>
          <w:p w:rsidR="00FC1320" w:rsidRDefault="002B5B27">
            <w:pPr>
              <w:rPr>
                <w:rFonts w:ascii="Arial" w:hAnsi="Arial" w:cs="Arial"/>
                <w:sz w:val="22"/>
              </w:rPr>
            </w:pPr>
            <w:r>
              <w:rPr>
                <w:rFonts w:ascii="Arial" w:hAnsi="Arial" w:cs="Arial"/>
                <w:sz w:val="22"/>
              </w:rPr>
              <w:t>17,1</w:t>
            </w:r>
          </w:p>
        </w:tc>
        <w:tc>
          <w:tcPr>
            <w:tcW w:w="2387" w:type="dxa"/>
          </w:tcPr>
          <w:p w:rsidR="00FC1320" w:rsidRDefault="002B5B27">
            <w:pPr>
              <w:rPr>
                <w:rFonts w:ascii="Arial" w:hAnsi="Arial" w:cs="Arial"/>
                <w:sz w:val="22"/>
              </w:rPr>
            </w:pPr>
            <w:r>
              <w:rPr>
                <w:rFonts w:ascii="Arial" w:hAnsi="Arial" w:cs="Arial"/>
                <w:sz w:val="22"/>
              </w:rPr>
              <w:t>16,3</w:t>
            </w:r>
          </w:p>
        </w:tc>
      </w:tr>
      <w:tr w:rsidR="00FC1320">
        <w:trPr>
          <w:cantSplit/>
        </w:trPr>
        <w:tc>
          <w:tcPr>
            <w:tcW w:w="2386" w:type="dxa"/>
          </w:tcPr>
          <w:p w:rsidR="00FC1320" w:rsidRDefault="002B5B27">
            <w:pPr>
              <w:rPr>
                <w:rFonts w:ascii="Arial" w:hAnsi="Arial" w:cs="Arial"/>
                <w:sz w:val="22"/>
              </w:rPr>
            </w:pPr>
            <w:r>
              <w:rPr>
                <w:rFonts w:ascii="Arial" w:hAnsi="Arial" w:cs="Arial"/>
                <w:sz w:val="22"/>
              </w:rPr>
              <w:t>Junij</w:t>
            </w:r>
          </w:p>
        </w:tc>
        <w:tc>
          <w:tcPr>
            <w:tcW w:w="2386" w:type="dxa"/>
          </w:tcPr>
          <w:p w:rsidR="00FC1320" w:rsidRDefault="002B5B27">
            <w:pPr>
              <w:rPr>
                <w:rFonts w:ascii="Arial" w:hAnsi="Arial" w:cs="Arial"/>
                <w:sz w:val="22"/>
              </w:rPr>
            </w:pPr>
            <w:r>
              <w:rPr>
                <w:rFonts w:ascii="Arial" w:hAnsi="Arial" w:cs="Arial"/>
                <w:sz w:val="22"/>
              </w:rPr>
              <w:t>21,6</w:t>
            </w:r>
          </w:p>
        </w:tc>
        <w:tc>
          <w:tcPr>
            <w:tcW w:w="2387" w:type="dxa"/>
          </w:tcPr>
          <w:p w:rsidR="00FC1320" w:rsidRDefault="002B5B27">
            <w:pPr>
              <w:rPr>
                <w:rFonts w:ascii="Arial" w:hAnsi="Arial" w:cs="Arial"/>
                <w:sz w:val="22"/>
              </w:rPr>
            </w:pPr>
            <w:r>
              <w:rPr>
                <w:rFonts w:ascii="Arial" w:hAnsi="Arial" w:cs="Arial"/>
                <w:sz w:val="22"/>
              </w:rPr>
              <w:t>21,1</w:t>
            </w:r>
          </w:p>
        </w:tc>
      </w:tr>
      <w:tr w:rsidR="00FC1320">
        <w:trPr>
          <w:cantSplit/>
        </w:trPr>
        <w:tc>
          <w:tcPr>
            <w:tcW w:w="2386" w:type="dxa"/>
          </w:tcPr>
          <w:p w:rsidR="00FC1320" w:rsidRDefault="002B5B27">
            <w:pPr>
              <w:rPr>
                <w:rFonts w:ascii="Arial" w:hAnsi="Arial" w:cs="Arial"/>
                <w:sz w:val="22"/>
              </w:rPr>
            </w:pPr>
            <w:r>
              <w:rPr>
                <w:rFonts w:ascii="Arial" w:hAnsi="Arial" w:cs="Arial"/>
                <w:sz w:val="22"/>
              </w:rPr>
              <w:t>Julij</w:t>
            </w:r>
          </w:p>
        </w:tc>
        <w:tc>
          <w:tcPr>
            <w:tcW w:w="2386" w:type="dxa"/>
          </w:tcPr>
          <w:p w:rsidR="00FC1320" w:rsidRDefault="002B5B27">
            <w:pPr>
              <w:rPr>
                <w:rFonts w:ascii="Arial" w:hAnsi="Arial" w:cs="Arial"/>
                <w:sz w:val="22"/>
              </w:rPr>
            </w:pPr>
            <w:r>
              <w:rPr>
                <w:rFonts w:ascii="Arial" w:hAnsi="Arial" w:cs="Arial"/>
                <w:sz w:val="22"/>
              </w:rPr>
              <w:t>23,9</w:t>
            </w:r>
          </w:p>
        </w:tc>
        <w:tc>
          <w:tcPr>
            <w:tcW w:w="2387" w:type="dxa"/>
          </w:tcPr>
          <w:p w:rsidR="00FC1320" w:rsidRDefault="002B5B27">
            <w:pPr>
              <w:rPr>
                <w:rFonts w:ascii="Arial" w:hAnsi="Arial" w:cs="Arial"/>
                <w:sz w:val="22"/>
              </w:rPr>
            </w:pPr>
            <w:r>
              <w:rPr>
                <w:rFonts w:ascii="Arial" w:hAnsi="Arial" w:cs="Arial"/>
                <w:sz w:val="22"/>
              </w:rPr>
              <w:t>23,6</w:t>
            </w:r>
          </w:p>
        </w:tc>
      </w:tr>
      <w:tr w:rsidR="00FC1320">
        <w:trPr>
          <w:cantSplit/>
        </w:trPr>
        <w:tc>
          <w:tcPr>
            <w:tcW w:w="2386" w:type="dxa"/>
          </w:tcPr>
          <w:p w:rsidR="00FC1320" w:rsidRDefault="002B5B27">
            <w:pPr>
              <w:rPr>
                <w:rFonts w:ascii="Arial" w:hAnsi="Arial" w:cs="Arial"/>
                <w:sz w:val="22"/>
              </w:rPr>
            </w:pPr>
            <w:r>
              <w:rPr>
                <w:rFonts w:ascii="Arial" w:hAnsi="Arial" w:cs="Arial"/>
                <w:sz w:val="22"/>
              </w:rPr>
              <w:t>Avgust</w:t>
            </w:r>
          </w:p>
        </w:tc>
        <w:tc>
          <w:tcPr>
            <w:tcW w:w="2386" w:type="dxa"/>
          </w:tcPr>
          <w:p w:rsidR="00FC1320" w:rsidRDefault="002B5B27">
            <w:pPr>
              <w:rPr>
                <w:rFonts w:ascii="Arial" w:hAnsi="Arial" w:cs="Arial"/>
                <w:sz w:val="22"/>
              </w:rPr>
            </w:pPr>
            <w:r>
              <w:rPr>
                <w:rFonts w:ascii="Arial" w:hAnsi="Arial" w:cs="Arial"/>
                <w:sz w:val="22"/>
              </w:rPr>
              <w:t>24,3</w:t>
            </w:r>
          </w:p>
        </w:tc>
        <w:tc>
          <w:tcPr>
            <w:tcW w:w="2387" w:type="dxa"/>
          </w:tcPr>
          <w:p w:rsidR="00FC1320" w:rsidRDefault="002B5B27">
            <w:pPr>
              <w:rPr>
                <w:rFonts w:ascii="Arial" w:hAnsi="Arial" w:cs="Arial"/>
                <w:sz w:val="22"/>
              </w:rPr>
            </w:pPr>
            <w:r>
              <w:rPr>
                <w:rFonts w:ascii="Arial" w:hAnsi="Arial" w:cs="Arial"/>
                <w:sz w:val="22"/>
              </w:rPr>
              <w:t>24,0</w:t>
            </w:r>
          </w:p>
        </w:tc>
      </w:tr>
      <w:tr w:rsidR="00FC1320">
        <w:trPr>
          <w:cantSplit/>
        </w:trPr>
        <w:tc>
          <w:tcPr>
            <w:tcW w:w="2386" w:type="dxa"/>
          </w:tcPr>
          <w:p w:rsidR="00FC1320" w:rsidRDefault="002B5B27">
            <w:pPr>
              <w:rPr>
                <w:rFonts w:ascii="Arial" w:hAnsi="Arial" w:cs="Arial"/>
                <w:sz w:val="22"/>
              </w:rPr>
            </w:pPr>
            <w:r>
              <w:rPr>
                <w:rFonts w:ascii="Arial" w:hAnsi="Arial" w:cs="Arial"/>
                <w:sz w:val="22"/>
              </w:rPr>
              <w:t>September</w:t>
            </w:r>
          </w:p>
        </w:tc>
        <w:tc>
          <w:tcPr>
            <w:tcW w:w="2386" w:type="dxa"/>
          </w:tcPr>
          <w:p w:rsidR="00FC1320" w:rsidRDefault="002B5B27">
            <w:pPr>
              <w:rPr>
                <w:rFonts w:ascii="Arial" w:hAnsi="Arial" w:cs="Arial"/>
                <w:sz w:val="22"/>
              </w:rPr>
            </w:pPr>
            <w:r>
              <w:rPr>
                <w:rFonts w:ascii="Arial" w:hAnsi="Arial" w:cs="Arial"/>
                <w:sz w:val="22"/>
              </w:rPr>
              <w:t>21,8</w:t>
            </w:r>
          </w:p>
        </w:tc>
        <w:tc>
          <w:tcPr>
            <w:tcW w:w="2387" w:type="dxa"/>
          </w:tcPr>
          <w:p w:rsidR="00FC1320" w:rsidRDefault="002B5B27">
            <w:pPr>
              <w:rPr>
                <w:rFonts w:ascii="Arial" w:hAnsi="Arial" w:cs="Arial"/>
                <w:sz w:val="22"/>
              </w:rPr>
            </w:pPr>
            <w:r>
              <w:rPr>
                <w:rFonts w:ascii="Arial" w:hAnsi="Arial" w:cs="Arial"/>
                <w:sz w:val="22"/>
              </w:rPr>
              <w:t>21,8</w:t>
            </w:r>
          </w:p>
        </w:tc>
      </w:tr>
      <w:tr w:rsidR="00FC1320">
        <w:trPr>
          <w:cantSplit/>
        </w:trPr>
        <w:tc>
          <w:tcPr>
            <w:tcW w:w="2386" w:type="dxa"/>
          </w:tcPr>
          <w:p w:rsidR="00FC1320" w:rsidRDefault="002B5B27">
            <w:pPr>
              <w:rPr>
                <w:rFonts w:ascii="Arial" w:hAnsi="Arial" w:cs="Arial"/>
                <w:sz w:val="22"/>
              </w:rPr>
            </w:pPr>
            <w:r>
              <w:rPr>
                <w:rFonts w:ascii="Arial" w:hAnsi="Arial" w:cs="Arial"/>
                <w:sz w:val="22"/>
              </w:rPr>
              <w:t>Oktober</w:t>
            </w:r>
          </w:p>
        </w:tc>
        <w:tc>
          <w:tcPr>
            <w:tcW w:w="2386" w:type="dxa"/>
          </w:tcPr>
          <w:p w:rsidR="00FC1320" w:rsidRDefault="002B5B27">
            <w:pPr>
              <w:rPr>
                <w:rFonts w:ascii="Arial" w:hAnsi="Arial" w:cs="Arial"/>
                <w:sz w:val="22"/>
              </w:rPr>
            </w:pPr>
            <w:r>
              <w:rPr>
                <w:rFonts w:ascii="Arial" w:hAnsi="Arial" w:cs="Arial"/>
                <w:sz w:val="22"/>
              </w:rPr>
              <w:t>18,5</w:t>
            </w:r>
          </w:p>
        </w:tc>
        <w:tc>
          <w:tcPr>
            <w:tcW w:w="2387" w:type="dxa"/>
          </w:tcPr>
          <w:p w:rsidR="00FC1320" w:rsidRDefault="002B5B27">
            <w:pPr>
              <w:rPr>
                <w:rFonts w:ascii="Arial" w:hAnsi="Arial" w:cs="Arial"/>
                <w:sz w:val="22"/>
              </w:rPr>
            </w:pPr>
            <w:r>
              <w:rPr>
                <w:rFonts w:ascii="Arial" w:hAnsi="Arial" w:cs="Arial"/>
                <w:sz w:val="22"/>
              </w:rPr>
              <w:t>18,8</w:t>
            </w:r>
          </w:p>
        </w:tc>
      </w:tr>
      <w:tr w:rsidR="00FC1320">
        <w:trPr>
          <w:cantSplit/>
        </w:trPr>
        <w:tc>
          <w:tcPr>
            <w:tcW w:w="2386" w:type="dxa"/>
          </w:tcPr>
          <w:p w:rsidR="00FC1320" w:rsidRDefault="002B5B27">
            <w:pPr>
              <w:rPr>
                <w:rFonts w:ascii="Arial" w:hAnsi="Arial" w:cs="Arial"/>
                <w:sz w:val="22"/>
              </w:rPr>
            </w:pPr>
            <w:r>
              <w:rPr>
                <w:rFonts w:ascii="Arial" w:hAnsi="Arial" w:cs="Arial"/>
                <w:sz w:val="22"/>
              </w:rPr>
              <w:t>November</w:t>
            </w:r>
          </w:p>
        </w:tc>
        <w:tc>
          <w:tcPr>
            <w:tcW w:w="2386" w:type="dxa"/>
          </w:tcPr>
          <w:p w:rsidR="00FC1320" w:rsidRDefault="002B5B27">
            <w:pPr>
              <w:rPr>
                <w:rFonts w:ascii="Arial" w:hAnsi="Arial" w:cs="Arial"/>
                <w:sz w:val="22"/>
              </w:rPr>
            </w:pPr>
            <w:r>
              <w:rPr>
                <w:rFonts w:ascii="Arial" w:hAnsi="Arial" w:cs="Arial"/>
                <w:sz w:val="22"/>
              </w:rPr>
              <w:t>14,9</w:t>
            </w:r>
          </w:p>
        </w:tc>
        <w:tc>
          <w:tcPr>
            <w:tcW w:w="2387" w:type="dxa"/>
          </w:tcPr>
          <w:p w:rsidR="00FC1320" w:rsidRDefault="002B5B27">
            <w:pPr>
              <w:rPr>
                <w:rFonts w:ascii="Arial" w:hAnsi="Arial" w:cs="Arial"/>
                <w:sz w:val="22"/>
              </w:rPr>
            </w:pPr>
            <w:r>
              <w:rPr>
                <w:rFonts w:ascii="Arial" w:hAnsi="Arial" w:cs="Arial"/>
                <w:sz w:val="22"/>
              </w:rPr>
              <w:t>14,8</w:t>
            </w:r>
          </w:p>
        </w:tc>
      </w:tr>
      <w:tr w:rsidR="00FC1320">
        <w:trPr>
          <w:cantSplit/>
        </w:trPr>
        <w:tc>
          <w:tcPr>
            <w:tcW w:w="2386" w:type="dxa"/>
            <w:tcBorders>
              <w:bottom w:val="nil"/>
            </w:tcBorders>
          </w:tcPr>
          <w:p w:rsidR="00FC1320" w:rsidRDefault="002B5B27">
            <w:pPr>
              <w:rPr>
                <w:rFonts w:ascii="Arial" w:hAnsi="Arial" w:cs="Arial"/>
                <w:sz w:val="22"/>
              </w:rPr>
            </w:pPr>
            <w:r>
              <w:rPr>
                <w:rFonts w:ascii="Arial" w:hAnsi="Arial" w:cs="Arial"/>
                <w:sz w:val="22"/>
              </w:rPr>
              <w:t>December</w:t>
            </w:r>
          </w:p>
        </w:tc>
        <w:tc>
          <w:tcPr>
            <w:tcW w:w="2386" w:type="dxa"/>
            <w:tcBorders>
              <w:bottom w:val="nil"/>
            </w:tcBorders>
          </w:tcPr>
          <w:p w:rsidR="00FC1320" w:rsidRDefault="002B5B27">
            <w:pPr>
              <w:rPr>
                <w:rFonts w:ascii="Arial" w:hAnsi="Arial" w:cs="Arial"/>
                <w:sz w:val="22"/>
              </w:rPr>
            </w:pPr>
            <w:r>
              <w:rPr>
                <w:rFonts w:ascii="Arial" w:hAnsi="Arial" w:cs="Arial"/>
                <w:sz w:val="22"/>
              </w:rPr>
              <w:t>11,7</w:t>
            </w:r>
          </w:p>
        </w:tc>
        <w:tc>
          <w:tcPr>
            <w:tcW w:w="2387" w:type="dxa"/>
            <w:tcBorders>
              <w:bottom w:val="nil"/>
            </w:tcBorders>
          </w:tcPr>
          <w:p w:rsidR="00FC1320" w:rsidRDefault="002B5B27">
            <w:pPr>
              <w:rPr>
                <w:rFonts w:ascii="Arial" w:hAnsi="Arial" w:cs="Arial"/>
                <w:sz w:val="22"/>
              </w:rPr>
            </w:pPr>
            <w:r>
              <w:rPr>
                <w:rFonts w:ascii="Arial" w:hAnsi="Arial" w:cs="Arial"/>
                <w:sz w:val="22"/>
              </w:rPr>
              <w:t>11,1</w:t>
            </w:r>
          </w:p>
        </w:tc>
      </w:tr>
      <w:tr w:rsidR="00FC1320">
        <w:trPr>
          <w:cantSplit/>
        </w:trPr>
        <w:tc>
          <w:tcPr>
            <w:tcW w:w="2386" w:type="dxa"/>
            <w:tcBorders>
              <w:top w:val="nil"/>
            </w:tcBorders>
          </w:tcPr>
          <w:p w:rsidR="00FC1320" w:rsidRDefault="002B5B27">
            <w:pPr>
              <w:rPr>
                <w:rFonts w:ascii="Arial" w:hAnsi="Arial" w:cs="Arial"/>
                <w:sz w:val="22"/>
              </w:rPr>
            </w:pPr>
            <w:r>
              <w:rPr>
                <w:rFonts w:ascii="Arial" w:hAnsi="Arial" w:cs="Arial"/>
                <w:sz w:val="22"/>
              </w:rPr>
              <w:t>Dolgoletno povprečje</w:t>
            </w:r>
          </w:p>
        </w:tc>
        <w:tc>
          <w:tcPr>
            <w:tcW w:w="2386" w:type="dxa"/>
            <w:tcBorders>
              <w:top w:val="nil"/>
            </w:tcBorders>
          </w:tcPr>
          <w:p w:rsidR="00FC1320" w:rsidRDefault="002B5B27">
            <w:pPr>
              <w:rPr>
                <w:rFonts w:ascii="Arial" w:hAnsi="Arial" w:cs="Arial"/>
                <w:sz w:val="22"/>
              </w:rPr>
            </w:pPr>
            <w:r>
              <w:rPr>
                <w:rFonts w:ascii="Arial" w:hAnsi="Arial" w:cs="Arial"/>
                <w:sz w:val="22"/>
              </w:rPr>
              <w:t>16,0</w:t>
            </w:r>
          </w:p>
        </w:tc>
        <w:tc>
          <w:tcPr>
            <w:tcW w:w="2387" w:type="dxa"/>
            <w:tcBorders>
              <w:top w:val="nil"/>
            </w:tcBorders>
          </w:tcPr>
          <w:p w:rsidR="00FC1320" w:rsidRDefault="002B5B27">
            <w:pPr>
              <w:rPr>
                <w:rFonts w:ascii="Arial" w:hAnsi="Arial" w:cs="Arial"/>
                <w:sz w:val="22"/>
              </w:rPr>
            </w:pPr>
            <w:r>
              <w:rPr>
                <w:rFonts w:ascii="Arial" w:hAnsi="Arial" w:cs="Arial"/>
                <w:sz w:val="22"/>
              </w:rPr>
              <w:t>15,8</w:t>
            </w:r>
          </w:p>
        </w:tc>
      </w:tr>
    </w:tbl>
    <w:p w:rsidR="00FC1320" w:rsidRDefault="00FC1320">
      <w:pPr>
        <w:rPr>
          <w:rFonts w:ascii="Arial" w:hAnsi="Arial" w:cs="Arial"/>
          <w:sz w:val="22"/>
        </w:rPr>
      </w:pPr>
    </w:p>
    <w:p w:rsidR="00FC1320" w:rsidRDefault="00FC1320">
      <w:pPr>
        <w:rPr>
          <w:rFonts w:ascii="Arial" w:hAnsi="Arial" w:cs="Arial"/>
          <w:sz w:val="22"/>
        </w:rPr>
      </w:pPr>
    </w:p>
    <w:p w:rsidR="00FC1320" w:rsidRDefault="002B5B27">
      <w:pPr>
        <w:rPr>
          <w:rFonts w:ascii="Arial" w:hAnsi="Arial" w:cs="Arial"/>
          <w:sz w:val="22"/>
        </w:rPr>
      </w:pPr>
      <w:r>
        <w:rPr>
          <w:rFonts w:ascii="Arial" w:hAnsi="Arial" w:cs="Arial"/>
          <w:sz w:val="22"/>
        </w:rPr>
        <w:t>Tabela št.1: Povprečne mesečne in letne temperature morja v Semedeli(Koper) in Piranu.</w:t>
      </w:r>
    </w:p>
    <w:p w:rsidR="00FC1320" w:rsidRDefault="00FC1320">
      <w:pPr>
        <w:pStyle w:val="Heading3"/>
        <w:numPr>
          <w:ilvl w:val="0"/>
          <w:numId w:val="4"/>
        </w:numPr>
        <w:ind w:left="720" w:hanging="720"/>
        <w:rPr>
          <w:rFonts w:cs="Arial"/>
          <w:b/>
          <w:bCs/>
          <w:sz w:val="22"/>
        </w:rPr>
      </w:pPr>
    </w:p>
    <w:p w:rsidR="00FC1320" w:rsidRDefault="002B5B27">
      <w:pPr>
        <w:pStyle w:val="Heading3"/>
        <w:numPr>
          <w:ilvl w:val="0"/>
          <w:numId w:val="4"/>
        </w:numPr>
        <w:ind w:left="720" w:hanging="720"/>
        <w:rPr>
          <w:rFonts w:cs="Arial"/>
          <w:b/>
          <w:bCs/>
          <w:sz w:val="22"/>
        </w:rPr>
      </w:pPr>
      <w:r>
        <w:rPr>
          <w:rFonts w:cs="Arial"/>
          <w:b/>
          <w:bCs/>
          <w:sz w:val="22"/>
        </w:rPr>
        <w:t xml:space="preserve">Gibanje morja </w:t>
      </w:r>
    </w:p>
    <w:p w:rsidR="00FC1320" w:rsidRDefault="00FC1320">
      <w:pPr>
        <w:pStyle w:val="Default"/>
        <w:jc w:val="both"/>
        <w:rPr>
          <w:color w:val="auto"/>
          <w:sz w:val="22"/>
        </w:rPr>
      </w:pPr>
    </w:p>
    <w:p w:rsidR="00FC1320" w:rsidRDefault="002B5B27">
      <w:pPr>
        <w:rPr>
          <w:rFonts w:ascii="Arial" w:hAnsi="Arial" w:cs="Arial"/>
          <w:sz w:val="22"/>
        </w:rPr>
      </w:pPr>
      <w:r>
        <w:rPr>
          <w:rFonts w:ascii="Arial" w:hAnsi="Arial" w:cs="Arial"/>
          <w:sz w:val="22"/>
        </w:rPr>
        <w:t xml:space="preserve">Amplituda plimovanja je z ozirom na povprečno vrednost visokih in nizkih vod 66 cm. V posameznih primerih je plimovanje tudi znatno večje. Najvišja visoka voda je bila zabeležena 25. 10. 1980 –370 cm, najnižja voda pa 6. 2. 1989 –102 cm. </w:t>
      </w:r>
    </w:p>
    <w:p w:rsidR="00FC1320" w:rsidRDefault="002B5B27">
      <w:pPr>
        <w:rPr>
          <w:rFonts w:ascii="Arial" w:hAnsi="Arial" w:cs="Arial"/>
          <w:sz w:val="22"/>
        </w:rPr>
      </w:pPr>
      <w:r>
        <w:rPr>
          <w:rFonts w:ascii="Arial" w:hAnsi="Arial" w:cs="Arial"/>
          <w:sz w:val="22"/>
        </w:rPr>
        <w:t xml:space="preserve">Ob največji privlačnosti Lune in Sonca, predvsem od oktobra do decembra, in ob ciklonalnih baričnih situacijah, ki jih spremlja močan južni veter, prihaja ob plimi do narivanja vodne gmote proti italijanski in koprski obali. Takrat vodne gmote pri dnu ne morejo dovolj hitro odtekati in zato prihaja do poplav. Tudi znižanje zračnega tlaka za 1 mb že povzroči dodaten dvig morske gladine za 1 cm. Gladina se lahko dvigne skoraj za 3 metre. V takih primeri morje poplavlja nižje predele Pirana, Izole, Kopra, na italijanski strani pa predvsem Trst in Benetke. </w:t>
      </w:r>
    </w:p>
    <w:p w:rsidR="00FC1320" w:rsidRDefault="002B5B27">
      <w:pPr>
        <w:pStyle w:val="BodyText2"/>
        <w:jc w:val="left"/>
        <w:rPr>
          <w:sz w:val="22"/>
        </w:rPr>
      </w:pPr>
      <w:r>
        <w:rPr>
          <w:sz w:val="22"/>
        </w:rPr>
        <w:t xml:space="preserve">Drugi značilen veter za Tržaški zaliv je burja. Zaradi močnih sunkov vetra so valovi ob burji kratki, ozki in strmi. Zanje je značilno, da so nepravilne oblike, z višino do 3 metrov. Ker se ti valovi med seboj zadevajo, križajo in sekajo, so za pomorski promet nevarnejši od valov, ki jih povzroča južni veter. </w:t>
      </w:r>
    </w:p>
    <w:p w:rsidR="00FC1320" w:rsidRDefault="002B5B27">
      <w:pPr>
        <w:rPr>
          <w:rFonts w:ascii="Arial" w:hAnsi="Arial" w:cs="Arial"/>
          <w:sz w:val="22"/>
        </w:rPr>
      </w:pPr>
      <w:r>
        <w:rPr>
          <w:rFonts w:ascii="Arial" w:hAnsi="Arial" w:cs="Arial"/>
          <w:sz w:val="22"/>
        </w:rPr>
        <w:t xml:space="preserve">V primerjavi z Jadranom so morski tokovi v Tržaškem zalivu slabo razviti. Pogosta je menjava strani tokov od severovzhoda na jugovzhod ali obratno, kar je povezano s plimovanjem in s trenutno vremensko situacijo, predvsem smerjo močnih tokov. Kadar nad Tržaškim zalivom piha močan veter iz severovzhodne smeri, odriva tok proti srednjemu Jadranu, to pa znižuje nivo vode v zalivu. Nadomešča jo priobalni zavetrni tok, ki pa povečuje slanost. Kadar pihajo vetrovi iz južne ali jugozahodne smeri, začne voda v Tržaškem zalivu zaradi tokov naraščati. Pogosto nastaja v globini 10–15 metrov površinskemu toku nasprotni povratni ali kompenzacijski tok. </w:t>
      </w:r>
    </w:p>
    <w:p w:rsidR="00FC1320" w:rsidRDefault="002B5B27">
      <w:pPr>
        <w:rPr>
          <w:rFonts w:ascii="Arial" w:hAnsi="Arial" w:cs="Arial"/>
          <w:sz w:val="22"/>
        </w:rPr>
      </w:pPr>
      <w:r>
        <w:rPr>
          <w:rFonts w:ascii="Arial" w:hAnsi="Arial" w:cs="Arial"/>
          <w:sz w:val="22"/>
        </w:rPr>
        <w:t xml:space="preserve">Tokovi so zaradi plimovanja počasni, zaradi vetra pa se gibljejo v območju od 0,04 0,32 m/s, in ti najbolj mešajo vodo v zalivu. </w:t>
      </w:r>
    </w:p>
    <w:p w:rsidR="00FC1320" w:rsidRDefault="002B5B27">
      <w:pPr>
        <w:pStyle w:val="Heading3"/>
        <w:numPr>
          <w:ilvl w:val="0"/>
          <w:numId w:val="5"/>
        </w:numPr>
        <w:ind w:left="720" w:hanging="720"/>
        <w:rPr>
          <w:rFonts w:cs="Arial"/>
          <w:b/>
          <w:bCs/>
          <w:sz w:val="22"/>
        </w:rPr>
      </w:pPr>
      <w:r>
        <w:rPr>
          <w:rFonts w:cs="Arial"/>
          <w:b/>
          <w:bCs/>
          <w:sz w:val="22"/>
        </w:rPr>
        <w:lastRenderedPageBreak/>
        <w:t xml:space="preserve">Slanost morja </w:t>
      </w:r>
    </w:p>
    <w:p w:rsidR="00FC1320" w:rsidRDefault="00FC1320">
      <w:pPr>
        <w:pStyle w:val="Default"/>
        <w:jc w:val="both"/>
        <w:rPr>
          <w:color w:val="auto"/>
          <w:sz w:val="22"/>
        </w:rPr>
      </w:pPr>
    </w:p>
    <w:p w:rsidR="00FC1320" w:rsidRDefault="002B5B27">
      <w:pPr>
        <w:pStyle w:val="Tabela"/>
        <w:autoSpaceDE/>
        <w:autoSpaceDN/>
        <w:adjustRightInd/>
        <w:rPr>
          <w:rFonts w:cs="Arial"/>
          <w:sz w:val="22"/>
        </w:rPr>
      </w:pPr>
      <w:r>
        <w:rPr>
          <w:rFonts w:cs="Arial"/>
          <w:sz w:val="22"/>
        </w:rPr>
        <w:t xml:space="preserve">V Tržaški zaliv se iztekajo Soča (iz alpskih dolin), Rižana, Badaševica, Drnica in Dragonja ter kraški podzemni pritoki, nekateri kot podmorski izviri (Brajnice). Zato se slanost v smeri od jugovzhoda proti severozahodu zmanjšuje. V povprečju slanost znaša med 33 in 38 ‰, odvisno od letnih časov in globine. Najmanjša je slanost v poletnih mesecih (julij), največja pa v zimskem času (februarja). Poleti je slanost na površini v povprečju manjša (33− 36 ‰) kot v globini 10 do 20 m, kjer je konstantna vse leto (37–38 ‰). Poleti je slanost najmanjša v severnem delu Tržaškega zaliva, okrog 33 ‰, zaradi večjega dotoka soških voda. Pozimi je dotok sladke vode manjši, zato se slanost stopnjuje in dosega do 38 ‰. Slanost v zimskem času zvišuje tudi dotok močno slane vode iz južnega in srednjega Jadrana, kjer močno poletno ogrevanje in izhlapevanje stopnjuje slanost. </w:t>
      </w: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pStyle w:val="Default"/>
        <w:jc w:val="both"/>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1156"/>
        <w:gridCol w:w="1876"/>
        <w:gridCol w:w="1156"/>
      </w:tblGrid>
      <w:tr w:rsidR="00FC1320">
        <w:tc>
          <w:tcPr>
            <w:tcW w:w="0" w:type="auto"/>
          </w:tcPr>
          <w:p w:rsidR="00FC1320" w:rsidRDefault="002B5B27">
            <w:pPr>
              <w:pStyle w:val="Default"/>
              <w:jc w:val="both"/>
              <w:rPr>
                <w:b/>
                <w:bCs/>
                <w:color w:val="auto"/>
                <w:sz w:val="22"/>
              </w:rPr>
            </w:pPr>
            <w:r>
              <w:rPr>
                <w:b/>
                <w:bCs/>
                <w:color w:val="auto"/>
                <w:sz w:val="22"/>
              </w:rPr>
              <w:t>Dan in mesec</w:t>
            </w:r>
          </w:p>
        </w:tc>
        <w:tc>
          <w:tcPr>
            <w:tcW w:w="0" w:type="auto"/>
            <w:tcBorders>
              <w:right w:val="nil"/>
            </w:tcBorders>
          </w:tcPr>
          <w:p w:rsidR="00FC1320" w:rsidRDefault="00FC1320">
            <w:pPr>
              <w:pStyle w:val="Default"/>
              <w:jc w:val="both"/>
              <w:rPr>
                <w:b/>
                <w:bCs/>
                <w:color w:val="auto"/>
                <w:sz w:val="22"/>
              </w:rPr>
            </w:pPr>
          </w:p>
        </w:tc>
        <w:tc>
          <w:tcPr>
            <w:tcW w:w="0" w:type="auto"/>
            <w:tcBorders>
              <w:left w:val="nil"/>
              <w:right w:val="nil"/>
            </w:tcBorders>
          </w:tcPr>
          <w:p w:rsidR="00FC1320" w:rsidRDefault="002B5B27">
            <w:pPr>
              <w:pStyle w:val="Default"/>
              <w:jc w:val="center"/>
              <w:rPr>
                <w:b/>
                <w:bCs/>
                <w:color w:val="auto"/>
                <w:sz w:val="22"/>
              </w:rPr>
            </w:pPr>
            <w:r>
              <w:rPr>
                <w:b/>
                <w:bCs/>
                <w:color w:val="auto"/>
                <w:sz w:val="22"/>
              </w:rPr>
              <w:t>Globina v metrih</w:t>
            </w:r>
          </w:p>
        </w:tc>
        <w:tc>
          <w:tcPr>
            <w:tcW w:w="0" w:type="auto"/>
            <w:tcBorders>
              <w:left w:val="nil"/>
            </w:tcBorders>
          </w:tcPr>
          <w:p w:rsidR="00FC1320" w:rsidRDefault="00FC1320">
            <w:pPr>
              <w:pStyle w:val="Default"/>
              <w:jc w:val="both"/>
              <w:rPr>
                <w:b/>
                <w:bCs/>
                <w:color w:val="auto"/>
                <w:sz w:val="22"/>
              </w:rPr>
            </w:pPr>
          </w:p>
        </w:tc>
      </w:tr>
      <w:tr w:rsidR="00FC1320">
        <w:tc>
          <w:tcPr>
            <w:tcW w:w="0" w:type="auto"/>
          </w:tcPr>
          <w:p w:rsidR="00FC1320" w:rsidRDefault="00FC1320">
            <w:pPr>
              <w:pStyle w:val="Default"/>
              <w:jc w:val="both"/>
              <w:rPr>
                <w:color w:val="auto"/>
                <w:sz w:val="22"/>
              </w:rPr>
            </w:pPr>
          </w:p>
        </w:tc>
        <w:tc>
          <w:tcPr>
            <w:tcW w:w="0" w:type="auto"/>
          </w:tcPr>
          <w:p w:rsidR="00FC1320" w:rsidRDefault="002B5B27">
            <w:pPr>
              <w:pStyle w:val="Default"/>
              <w:jc w:val="both"/>
              <w:rPr>
                <w:color w:val="auto"/>
                <w:sz w:val="22"/>
              </w:rPr>
            </w:pPr>
            <w:r>
              <w:rPr>
                <w:color w:val="auto"/>
                <w:sz w:val="22"/>
              </w:rPr>
              <w:t>0</w:t>
            </w:r>
          </w:p>
        </w:tc>
        <w:tc>
          <w:tcPr>
            <w:tcW w:w="0" w:type="auto"/>
          </w:tcPr>
          <w:p w:rsidR="00FC1320" w:rsidRDefault="002B5B27">
            <w:pPr>
              <w:pStyle w:val="Default"/>
              <w:jc w:val="both"/>
              <w:rPr>
                <w:color w:val="auto"/>
                <w:sz w:val="22"/>
              </w:rPr>
            </w:pPr>
            <w:r>
              <w:rPr>
                <w:color w:val="auto"/>
                <w:sz w:val="22"/>
              </w:rPr>
              <w:t>10</w:t>
            </w:r>
          </w:p>
        </w:tc>
        <w:tc>
          <w:tcPr>
            <w:tcW w:w="0" w:type="auto"/>
          </w:tcPr>
          <w:p w:rsidR="00FC1320" w:rsidRDefault="002B5B27">
            <w:pPr>
              <w:pStyle w:val="Default"/>
              <w:jc w:val="both"/>
              <w:rPr>
                <w:color w:val="auto"/>
                <w:sz w:val="22"/>
              </w:rPr>
            </w:pPr>
            <w:r>
              <w:rPr>
                <w:color w:val="auto"/>
                <w:sz w:val="22"/>
              </w:rPr>
              <w:t>20</w:t>
            </w:r>
          </w:p>
        </w:tc>
      </w:tr>
      <w:tr w:rsidR="00FC1320">
        <w:tc>
          <w:tcPr>
            <w:tcW w:w="0" w:type="auto"/>
          </w:tcPr>
          <w:p w:rsidR="00FC1320" w:rsidRDefault="002B5B27">
            <w:pPr>
              <w:pStyle w:val="Default"/>
              <w:jc w:val="both"/>
              <w:rPr>
                <w:color w:val="auto"/>
                <w:sz w:val="22"/>
              </w:rPr>
            </w:pPr>
            <w:r>
              <w:rPr>
                <w:color w:val="auto"/>
                <w:sz w:val="22"/>
              </w:rPr>
              <w:t>28.januar</w:t>
            </w:r>
          </w:p>
        </w:tc>
        <w:tc>
          <w:tcPr>
            <w:tcW w:w="0" w:type="auto"/>
          </w:tcPr>
          <w:p w:rsidR="00FC1320" w:rsidRDefault="002B5B27">
            <w:pPr>
              <w:pStyle w:val="Default"/>
              <w:jc w:val="both"/>
              <w:rPr>
                <w:color w:val="auto"/>
                <w:sz w:val="22"/>
              </w:rPr>
            </w:pPr>
            <w:r>
              <w:rPr>
                <w:color w:val="auto"/>
                <w:sz w:val="22"/>
              </w:rPr>
              <w:t>37,52</w:t>
            </w:r>
          </w:p>
        </w:tc>
        <w:tc>
          <w:tcPr>
            <w:tcW w:w="0" w:type="auto"/>
            <w:vAlign w:val="bottom"/>
          </w:tcPr>
          <w:p w:rsidR="00FC1320" w:rsidRDefault="002B5B27">
            <w:pPr>
              <w:pStyle w:val="Tabela"/>
              <w:rPr>
                <w:rFonts w:cs="Arial"/>
                <w:sz w:val="22"/>
              </w:rPr>
            </w:pPr>
            <w:r>
              <w:rPr>
                <w:rFonts w:cs="Arial"/>
                <w:sz w:val="22"/>
              </w:rPr>
              <w:t xml:space="preserve">37,48 </w:t>
            </w:r>
          </w:p>
        </w:tc>
        <w:tc>
          <w:tcPr>
            <w:tcW w:w="0" w:type="auto"/>
            <w:vAlign w:val="bottom"/>
          </w:tcPr>
          <w:p w:rsidR="00FC1320" w:rsidRDefault="002B5B27">
            <w:pPr>
              <w:pStyle w:val="Tabela"/>
              <w:rPr>
                <w:rFonts w:cs="Arial"/>
                <w:sz w:val="22"/>
              </w:rPr>
            </w:pPr>
            <w:r>
              <w:rPr>
                <w:rFonts w:cs="Arial"/>
                <w:sz w:val="22"/>
              </w:rPr>
              <w:t xml:space="preserve">37,45 </w:t>
            </w:r>
          </w:p>
        </w:tc>
      </w:tr>
      <w:tr w:rsidR="00FC1320">
        <w:tc>
          <w:tcPr>
            <w:tcW w:w="0" w:type="auto"/>
          </w:tcPr>
          <w:p w:rsidR="00FC1320" w:rsidRDefault="002B5B27">
            <w:pPr>
              <w:pStyle w:val="Default"/>
              <w:jc w:val="both"/>
              <w:rPr>
                <w:color w:val="auto"/>
                <w:sz w:val="22"/>
              </w:rPr>
            </w:pPr>
            <w:r>
              <w:rPr>
                <w:color w:val="auto"/>
                <w:sz w:val="22"/>
              </w:rPr>
              <w:t>27.ferbuar</w:t>
            </w:r>
          </w:p>
        </w:tc>
        <w:tc>
          <w:tcPr>
            <w:tcW w:w="0" w:type="auto"/>
            <w:vAlign w:val="bottom"/>
          </w:tcPr>
          <w:p w:rsidR="00FC1320" w:rsidRDefault="002B5B27">
            <w:pPr>
              <w:pStyle w:val="Tabela"/>
              <w:rPr>
                <w:rFonts w:cs="Arial"/>
                <w:sz w:val="22"/>
              </w:rPr>
            </w:pPr>
            <w:r>
              <w:rPr>
                <w:rFonts w:cs="Arial"/>
                <w:sz w:val="22"/>
              </w:rPr>
              <w:t xml:space="preserve">38,19 </w:t>
            </w:r>
          </w:p>
        </w:tc>
        <w:tc>
          <w:tcPr>
            <w:tcW w:w="0" w:type="auto"/>
            <w:vAlign w:val="bottom"/>
          </w:tcPr>
          <w:p w:rsidR="00FC1320" w:rsidRDefault="002B5B27">
            <w:pPr>
              <w:pStyle w:val="Tabela"/>
              <w:rPr>
                <w:rFonts w:cs="Arial"/>
                <w:sz w:val="22"/>
              </w:rPr>
            </w:pPr>
            <w:r>
              <w:rPr>
                <w:rFonts w:cs="Arial"/>
                <w:sz w:val="22"/>
              </w:rPr>
              <w:t xml:space="preserve">38,06 </w:t>
            </w:r>
          </w:p>
        </w:tc>
        <w:tc>
          <w:tcPr>
            <w:tcW w:w="0" w:type="auto"/>
            <w:vAlign w:val="bottom"/>
          </w:tcPr>
          <w:p w:rsidR="00FC1320" w:rsidRDefault="002B5B27">
            <w:pPr>
              <w:pStyle w:val="Tabela"/>
              <w:rPr>
                <w:rFonts w:cs="Arial"/>
                <w:sz w:val="22"/>
              </w:rPr>
            </w:pPr>
            <w:r>
              <w:rPr>
                <w:rFonts w:cs="Arial"/>
                <w:sz w:val="22"/>
              </w:rPr>
              <w:t xml:space="preserve">38,1 </w:t>
            </w:r>
          </w:p>
        </w:tc>
      </w:tr>
      <w:tr w:rsidR="00FC1320">
        <w:tc>
          <w:tcPr>
            <w:tcW w:w="0" w:type="auto"/>
          </w:tcPr>
          <w:p w:rsidR="00FC1320" w:rsidRDefault="002B5B27">
            <w:pPr>
              <w:pStyle w:val="Default"/>
              <w:jc w:val="both"/>
              <w:rPr>
                <w:color w:val="auto"/>
                <w:sz w:val="22"/>
              </w:rPr>
            </w:pPr>
            <w:r>
              <w:rPr>
                <w:color w:val="auto"/>
                <w:sz w:val="22"/>
              </w:rPr>
              <w:t>9.april</w:t>
            </w:r>
          </w:p>
        </w:tc>
        <w:tc>
          <w:tcPr>
            <w:tcW w:w="0" w:type="auto"/>
            <w:vAlign w:val="bottom"/>
          </w:tcPr>
          <w:p w:rsidR="00FC1320" w:rsidRDefault="002B5B27">
            <w:pPr>
              <w:pStyle w:val="Tabela"/>
              <w:rPr>
                <w:rFonts w:cs="Arial"/>
                <w:sz w:val="22"/>
              </w:rPr>
            </w:pPr>
            <w:r>
              <w:rPr>
                <w:rFonts w:cs="Arial"/>
                <w:sz w:val="22"/>
              </w:rPr>
              <w:t xml:space="preserve">36,78 </w:t>
            </w:r>
          </w:p>
        </w:tc>
        <w:tc>
          <w:tcPr>
            <w:tcW w:w="0" w:type="auto"/>
            <w:vAlign w:val="bottom"/>
          </w:tcPr>
          <w:p w:rsidR="00FC1320" w:rsidRDefault="002B5B27">
            <w:pPr>
              <w:pStyle w:val="Tabela"/>
              <w:rPr>
                <w:rFonts w:cs="Arial"/>
                <w:sz w:val="22"/>
              </w:rPr>
            </w:pPr>
            <w:r>
              <w:rPr>
                <w:rFonts w:cs="Arial"/>
                <w:sz w:val="22"/>
              </w:rPr>
              <w:t xml:space="preserve">37,32 </w:t>
            </w:r>
          </w:p>
        </w:tc>
        <w:tc>
          <w:tcPr>
            <w:tcW w:w="0" w:type="auto"/>
            <w:vAlign w:val="bottom"/>
          </w:tcPr>
          <w:p w:rsidR="00FC1320" w:rsidRDefault="002B5B27">
            <w:pPr>
              <w:pStyle w:val="Tabela"/>
              <w:rPr>
                <w:rFonts w:cs="Arial"/>
                <w:sz w:val="22"/>
              </w:rPr>
            </w:pPr>
            <w:r>
              <w:rPr>
                <w:rFonts w:cs="Arial"/>
                <w:sz w:val="22"/>
              </w:rPr>
              <w:t xml:space="preserve">37,66 </w:t>
            </w:r>
          </w:p>
        </w:tc>
      </w:tr>
      <w:tr w:rsidR="00FC1320">
        <w:tc>
          <w:tcPr>
            <w:tcW w:w="0" w:type="auto"/>
          </w:tcPr>
          <w:p w:rsidR="00FC1320" w:rsidRDefault="002B5B27">
            <w:pPr>
              <w:pStyle w:val="Default"/>
              <w:jc w:val="both"/>
              <w:rPr>
                <w:color w:val="auto"/>
                <w:sz w:val="22"/>
              </w:rPr>
            </w:pPr>
            <w:r>
              <w:rPr>
                <w:color w:val="auto"/>
                <w:sz w:val="22"/>
              </w:rPr>
              <w:t>27.maj</w:t>
            </w:r>
          </w:p>
        </w:tc>
        <w:tc>
          <w:tcPr>
            <w:tcW w:w="0" w:type="auto"/>
            <w:vAlign w:val="bottom"/>
          </w:tcPr>
          <w:p w:rsidR="00FC1320" w:rsidRDefault="002B5B27">
            <w:pPr>
              <w:pStyle w:val="Tabela"/>
              <w:rPr>
                <w:rFonts w:cs="Arial"/>
                <w:sz w:val="22"/>
              </w:rPr>
            </w:pPr>
            <w:r>
              <w:rPr>
                <w:rFonts w:cs="Arial"/>
                <w:sz w:val="22"/>
              </w:rPr>
              <w:t xml:space="preserve">35,86 </w:t>
            </w:r>
          </w:p>
        </w:tc>
        <w:tc>
          <w:tcPr>
            <w:tcW w:w="0" w:type="auto"/>
            <w:vAlign w:val="bottom"/>
          </w:tcPr>
          <w:p w:rsidR="00FC1320" w:rsidRDefault="002B5B27">
            <w:pPr>
              <w:pStyle w:val="Tabela"/>
              <w:rPr>
                <w:rFonts w:cs="Arial"/>
                <w:sz w:val="22"/>
              </w:rPr>
            </w:pPr>
            <w:r>
              <w:rPr>
                <w:rFonts w:cs="Arial"/>
                <w:sz w:val="22"/>
              </w:rPr>
              <w:t xml:space="preserve">36,82 </w:t>
            </w:r>
          </w:p>
        </w:tc>
        <w:tc>
          <w:tcPr>
            <w:tcW w:w="0" w:type="auto"/>
            <w:vAlign w:val="bottom"/>
          </w:tcPr>
          <w:p w:rsidR="00FC1320" w:rsidRDefault="002B5B27">
            <w:pPr>
              <w:pStyle w:val="Tabela"/>
              <w:rPr>
                <w:rFonts w:cs="Arial"/>
                <w:sz w:val="22"/>
              </w:rPr>
            </w:pPr>
            <w:r>
              <w:rPr>
                <w:rFonts w:cs="Arial"/>
                <w:sz w:val="22"/>
              </w:rPr>
              <w:t xml:space="preserve">37,16 </w:t>
            </w:r>
          </w:p>
        </w:tc>
      </w:tr>
      <w:tr w:rsidR="00FC1320">
        <w:tc>
          <w:tcPr>
            <w:tcW w:w="0" w:type="auto"/>
          </w:tcPr>
          <w:p w:rsidR="00FC1320" w:rsidRDefault="002B5B27">
            <w:pPr>
              <w:pStyle w:val="Default"/>
              <w:jc w:val="both"/>
              <w:rPr>
                <w:color w:val="auto"/>
                <w:sz w:val="22"/>
              </w:rPr>
            </w:pPr>
            <w:r>
              <w:rPr>
                <w:color w:val="auto"/>
                <w:sz w:val="22"/>
              </w:rPr>
              <w:t>6.julij</w:t>
            </w:r>
          </w:p>
        </w:tc>
        <w:tc>
          <w:tcPr>
            <w:tcW w:w="0" w:type="auto"/>
            <w:vAlign w:val="bottom"/>
          </w:tcPr>
          <w:p w:rsidR="00FC1320" w:rsidRDefault="002B5B27">
            <w:pPr>
              <w:pStyle w:val="Tabela"/>
              <w:rPr>
                <w:rFonts w:cs="Arial"/>
                <w:sz w:val="22"/>
              </w:rPr>
            </w:pPr>
            <w:r>
              <w:rPr>
                <w:rFonts w:cs="Arial"/>
                <w:sz w:val="22"/>
              </w:rPr>
              <w:t xml:space="preserve">33,77 </w:t>
            </w:r>
          </w:p>
        </w:tc>
        <w:tc>
          <w:tcPr>
            <w:tcW w:w="0" w:type="auto"/>
            <w:vAlign w:val="bottom"/>
          </w:tcPr>
          <w:p w:rsidR="00FC1320" w:rsidRDefault="002B5B27">
            <w:pPr>
              <w:pStyle w:val="Tabela"/>
              <w:rPr>
                <w:rFonts w:cs="Arial"/>
                <w:sz w:val="22"/>
              </w:rPr>
            </w:pPr>
            <w:r>
              <w:rPr>
                <w:rFonts w:cs="Arial"/>
                <w:sz w:val="22"/>
              </w:rPr>
              <w:t xml:space="preserve">35,07 </w:t>
            </w:r>
          </w:p>
        </w:tc>
        <w:tc>
          <w:tcPr>
            <w:tcW w:w="0" w:type="auto"/>
            <w:vAlign w:val="bottom"/>
          </w:tcPr>
          <w:p w:rsidR="00FC1320" w:rsidRDefault="002B5B27">
            <w:pPr>
              <w:pStyle w:val="Tabela"/>
              <w:rPr>
                <w:rFonts w:cs="Arial"/>
                <w:sz w:val="22"/>
              </w:rPr>
            </w:pPr>
            <w:r>
              <w:rPr>
                <w:rFonts w:cs="Arial"/>
                <w:sz w:val="22"/>
              </w:rPr>
              <w:t xml:space="preserve">37,34 </w:t>
            </w:r>
          </w:p>
        </w:tc>
      </w:tr>
      <w:tr w:rsidR="00FC1320">
        <w:tc>
          <w:tcPr>
            <w:tcW w:w="0" w:type="auto"/>
          </w:tcPr>
          <w:p w:rsidR="00FC1320" w:rsidRDefault="002B5B27">
            <w:pPr>
              <w:pStyle w:val="Default"/>
              <w:jc w:val="both"/>
              <w:rPr>
                <w:color w:val="auto"/>
                <w:sz w:val="22"/>
              </w:rPr>
            </w:pPr>
            <w:r>
              <w:rPr>
                <w:color w:val="auto"/>
                <w:sz w:val="22"/>
              </w:rPr>
              <w:t>8.avgust</w:t>
            </w:r>
          </w:p>
        </w:tc>
        <w:tc>
          <w:tcPr>
            <w:tcW w:w="0" w:type="auto"/>
            <w:vAlign w:val="bottom"/>
          </w:tcPr>
          <w:p w:rsidR="00FC1320" w:rsidRDefault="002B5B27">
            <w:pPr>
              <w:pStyle w:val="Tabela"/>
              <w:rPr>
                <w:rFonts w:cs="Arial"/>
                <w:sz w:val="22"/>
              </w:rPr>
            </w:pPr>
            <w:r>
              <w:rPr>
                <w:rFonts w:cs="Arial"/>
                <w:sz w:val="22"/>
              </w:rPr>
              <w:t xml:space="preserve">ni podatka </w:t>
            </w:r>
          </w:p>
        </w:tc>
        <w:tc>
          <w:tcPr>
            <w:tcW w:w="0" w:type="auto"/>
            <w:vAlign w:val="bottom"/>
          </w:tcPr>
          <w:p w:rsidR="00FC1320" w:rsidRDefault="002B5B27">
            <w:pPr>
              <w:pStyle w:val="Tabela"/>
              <w:rPr>
                <w:rFonts w:cs="Arial"/>
                <w:sz w:val="22"/>
              </w:rPr>
            </w:pPr>
            <w:r>
              <w:rPr>
                <w:rFonts w:cs="Arial"/>
                <w:sz w:val="22"/>
              </w:rPr>
              <w:t xml:space="preserve">37,23 </w:t>
            </w:r>
          </w:p>
        </w:tc>
        <w:tc>
          <w:tcPr>
            <w:tcW w:w="0" w:type="auto"/>
            <w:vAlign w:val="bottom"/>
          </w:tcPr>
          <w:p w:rsidR="00FC1320" w:rsidRDefault="002B5B27">
            <w:pPr>
              <w:pStyle w:val="Tabela"/>
              <w:rPr>
                <w:rFonts w:cs="Arial"/>
                <w:sz w:val="22"/>
              </w:rPr>
            </w:pPr>
            <w:r>
              <w:rPr>
                <w:rFonts w:cs="Arial"/>
                <w:sz w:val="22"/>
              </w:rPr>
              <w:t xml:space="preserve">ni podatka </w:t>
            </w:r>
          </w:p>
        </w:tc>
      </w:tr>
      <w:tr w:rsidR="00FC1320">
        <w:tc>
          <w:tcPr>
            <w:tcW w:w="0" w:type="auto"/>
          </w:tcPr>
          <w:p w:rsidR="00FC1320" w:rsidRDefault="002B5B27">
            <w:pPr>
              <w:pStyle w:val="Default"/>
              <w:jc w:val="both"/>
              <w:rPr>
                <w:color w:val="auto"/>
                <w:sz w:val="22"/>
              </w:rPr>
            </w:pPr>
            <w:r>
              <w:rPr>
                <w:color w:val="auto"/>
                <w:sz w:val="22"/>
              </w:rPr>
              <w:t>17.november</w:t>
            </w:r>
          </w:p>
        </w:tc>
        <w:tc>
          <w:tcPr>
            <w:tcW w:w="0" w:type="auto"/>
            <w:vAlign w:val="bottom"/>
          </w:tcPr>
          <w:p w:rsidR="00FC1320" w:rsidRDefault="002B5B27">
            <w:pPr>
              <w:pStyle w:val="Tabela"/>
              <w:rPr>
                <w:rFonts w:cs="Arial"/>
                <w:sz w:val="22"/>
              </w:rPr>
            </w:pPr>
            <w:r>
              <w:rPr>
                <w:rFonts w:cs="Arial"/>
                <w:sz w:val="22"/>
              </w:rPr>
              <w:t xml:space="preserve">ni podatka </w:t>
            </w:r>
          </w:p>
        </w:tc>
        <w:tc>
          <w:tcPr>
            <w:tcW w:w="0" w:type="auto"/>
            <w:vAlign w:val="bottom"/>
          </w:tcPr>
          <w:p w:rsidR="00FC1320" w:rsidRDefault="002B5B27">
            <w:pPr>
              <w:pStyle w:val="Tabela"/>
              <w:rPr>
                <w:rFonts w:cs="Arial"/>
                <w:sz w:val="22"/>
              </w:rPr>
            </w:pPr>
            <w:r>
              <w:rPr>
                <w:rFonts w:cs="Arial"/>
                <w:sz w:val="22"/>
              </w:rPr>
              <w:t xml:space="preserve">36,26 </w:t>
            </w:r>
          </w:p>
        </w:tc>
        <w:tc>
          <w:tcPr>
            <w:tcW w:w="0" w:type="auto"/>
            <w:vAlign w:val="bottom"/>
          </w:tcPr>
          <w:p w:rsidR="00FC1320" w:rsidRDefault="002B5B27">
            <w:pPr>
              <w:pStyle w:val="Tabela"/>
              <w:rPr>
                <w:rFonts w:cs="Arial"/>
                <w:sz w:val="22"/>
              </w:rPr>
            </w:pPr>
            <w:r>
              <w:rPr>
                <w:rFonts w:cs="Arial"/>
                <w:sz w:val="22"/>
              </w:rPr>
              <w:t xml:space="preserve">35,91 </w:t>
            </w:r>
          </w:p>
        </w:tc>
      </w:tr>
    </w:tbl>
    <w:p w:rsidR="00FC1320" w:rsidRDefault="002B5B27">
      <w:pPr>
        <w:pStyle w:val="Heading3"/>
        <w:rPr>
          <w:rFonts w:cs="Arial"/>
          <w:sz w:val="22"/>
        </w:rPr>
      </w:pPr>
      <w:r>
        <w:rPr>
          <w:rFonts w:cs="Arial"/>
          <w:sz w:val="22"/>
        </w:rPr>
        <w:t>Tabela št.2: Saliniteta (v ‰) zahodno od piranske Punte v l. 1965.</w:t>
      </w:r>
    </w:p>
    <w:p w:rsidR="00FC1320" w:rsidRDefault="00FC1320">
      <w:pPr>
        <w:pStyle w:val="Heading3"/>
        <w:numPr>
          <w:ilvl w:val="0"/>
          <w:numId w:val="6"/>
        </w:numPr>
        <w:ind w:left="720" w:hanging="720"/>
        <w:rPr>
          <w:rFonts w:cs="Arial"/>
          <w:sz w:val="22"/>
        </w:rPr>
      </w:pPr>
    </w:p>
    <w:p w:rsidR="00FC1320" w:rsidRDefault="002B5B27">
      <w:pPr>
        <w:pStyle w:val="Heading3"/>
        <w:rPr>
          <w:rFonts w:cs="Arial"/>
          <w:b/>
          <w:bCs/>
          <w:sz w:val="22"/>
        </w:rPr>
      </w:pPr>
      <w:r>
        <w:rPr>
          <w:rFonts w:cs="Arial"/>
          <w:b/>
          <w:bCs/>
          <w:sz w:val="22"/>
        </w:rPr>
        <w:t xml:space="preserve">Prozornost in barva morja </w:t>
      </w:r>
    </w:p>
    <w:p w:rsidR="00FC1320" w:rsidRDefault="00FC1320">
      <w:pPr>
        <w:pStyle w:val="Default"/>
        <w:jc w:val="both"/>
        <w:rPr>
          <w:color w:val="auto"/>
          <w:sz w:val="22"/>
        </w:rPr>
      </w:pPr>
    </w:p>
    <w:p w:rsidR="00FC1320" w:rsidRDefault="002B5B27">
      <w:pPr>
        <w:pStyle w:val="Tabela"/>
        <w:autoSpaceDE/>
        <w:autoSpaceDN/>
        <w:adjustRightInd/>
        <w:rPr>
          <w:rFonts w:cs="Arial"/>
          <w:sz w:val="22"/>
        </w:rPr>
      </w:pPr>
      <w:r>
        <w:rPr>
          <w:rFonts w:cs="Arial"/>
          <w:sz w:val="22"/>
        </w:rPr>
        <w:t xml:space="preserve">Prozornost morja se v Tržaškem zalivu zelo spreminja. Ker v plitvem morju prevladuje muljasto ali drobnopeščeno dno, je kalnost morske vode velika. Vidljivost je le redko večja od 10 m in je običajno med 6 in 8 metrov. Vzporedno s prozornostjo se veča tudi modrina morja. Zaradi plitvosti ima severni Jadran barvo svetlomodrih odtenkov, ki ob obalah preidejo v zeleno modre ali rjavo modre odtenke, odvisno od alg na dnu. </w:t>
      </w:r>
    </w:p>
    <w:p w:rsidR="00FC1320" w:rsidRDefault="00FC1320">
      <w:pPr>
        <w:rPr>
          <w:rFonts w:ascii="Arial" w:hAnsi="Arial" w:cs="Arial"/>
          <w:sz w:val="22"/>
        </w:rPr>
      </w:pPr>
    </w:p>
    <w:p w:rsidR="00FC1320" w:rsidRDefault="002B5B27">
      <w:pPr>
        <w:pStyle w:val="Heading1"/>
        <w:rPr>
          <w:sz w:val="22"/>
        </w:rPr>
      </w:pPr>
      <w:r>
        <w:rPr>
          <w:sz w:val="22"/>
        </w:rPr>
        <w:t xml:space="preserve">Globina morja </w:t>
      </w:r>
    </w:p>
    <w:p w:rsidR="00FC1320" w:rsidRDefault="00FC1320">
      <w:pPr>
        <w:pStyle w:val="Default"/>
        <w:jc w:val="both"/>
        <w:rPr>
          <w:color w:val="auto"/>
          <w:sz w:val="22"/>
        </w:rPr>
      </w:pPr>
    </w:p>
    <w:p w:rsidR="00FC1320" w:rsidRDefault="002B5B27">
      <w:pPr>
        <w:rPr>
          <w:rFonts w:ascii="Arial" w:hAnsi="Arial" w:cs="Arial"/>
          <w:sz w:val="22"/>
        </w:rPr>
      </w:pPr>
      <w:r>
        <w:rPr>
          <w:rFonts w:ascii="Arial" w:hAnsi="Arial" w:cs="Arial"/>
          <w:sz w:val="22"/>
        </w:rPr>
        <w:t xml:space="preserve">Zelo pomembna značilnost Tržaškega morja je plitvost, saj je njegova povprečna globina le 16,4 m. Manj kot polovica zaliva je globoka okrog 20 m, v slabi sedmini zaliva so globine od 10 do 15 m in več kot petina zaliva je plitvejša od 10 m. Večjih globin kot 25 m je zelo malo. Osamljenih skalnih plitvin, otokov, čeri ali podmorskih grebenov v slovenskem delu morja ni, če k temu ne prištejemo abrazijske terase na Debelem rtiču. </w:t>
      </w:r>
    </w:p>
    <w:p w:rsidR="00FC1320" w:rsidRDefault="002B5B27">
      <w:pPr>
        <w:rPr>
          <w:rFonts w:ascii="Arial" w:hAnsi="Arial" w:cs="Arial"/>
          <w:sz w:val="22"/>
        </w:rPr>
      </w:pPr>
      <w:r>
        <w:rPr>
          <w:rFonts w:ascii="Arial" w:hAnsi="Arial" w:cs="Arial"/>
          <w:sz w:val="22"/>
        </w:rPr>
        <w:t xml:space="preserve">To so glavni razlogi za izrazito celinskost in tudi precejšnjo ekološko občutljivost zaliva. </w:t>
      </w:r>
    </w:p>
    <w:p w:rsidR="00FC1320" w:rsidRDefault="002B5B27">
      <w:pPr>
        <w:rPr>
          <w:rFonts w:ascii="Arial" w:hAnsi="Arial" w:cs="Arial"/>
          <w:sz w:val="22"/>
        </w:rPr>
      </w:pPr>
      <w:r>
        <w:rPr>
          <w:rFonts w:ascii="Arial" w:hAnsi="Arial" w:cs="Arial"/>
          <w:sz w:val="22"/>
        </w:rPr>
        <w:t>Potek 20 metrske izobate v smeri od jugozahoda proti severovzhodu loči »zunanje«, odprto morje v osrednji kadunji (78 %) od »notranjega«, priobalnega morja (18 %). Priobalno morje sestavlja v bistvu le dva večja zaliva, Koprski in Piranski. Pomembna sta še dva manjša zaliva, na obeh straneh najbolj slikovitega in koničastega piranskega polotoka, Strunjanski in Portoroški. Vsi drugi zalivi so precej manjši in manj globoko vrezani v kopno.</w:t>
      </w: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FC1320">
      <w:pPr>
        <w:rPr>
          <w:rFonts w:ascii="Arial" w:hAnsi="Arial" w:cs="Arial"/>
          <w:sz w:val="22"/>
        </w:rPr>
      </w:pPr>
    </w:p>
    <w:p w:rsidR="00FC1320" w:rsidRDefault="002B5B27">
      <w:pPr>
        <w:rPr>
          <w:rFonts w:ascii="Arial" w:hAnsi="Arial" w:cs="Arial"/>
          <w:b/>
          <w:bCs/>
          <w:sz w:val="22"/>
        </w:rPr>
      </w:pPr>
      <w:r>
        <w:rPr>
          <w:rFonts w:ascii="Arial" w:hAnsi="Arial" w:cs="Arial"/>
          <w:b/>
          <w:bCs/>
          <w:sz w:val="22"/>
        </w:rPr>
        <w:t xml:space="preserve">Viri: </w:t>
      </w:r>
    </w:p>
    <w:p w:rsidR="00FC1320" w:rsidRDefault="002B5B27">
      <w:pPr>
        <w:numPr>
          <w:ilvl w:val="0"/>
          <w:numId w:val="10"/>
        </w:numPr>
        <w:rPr>
          <w:rFonts w:ascii="Arial" w:hAnsi="Arial" w:cs="Arial"/>
          <w:sz w:val="22"/>
        </w:rPr>
      </w:pPr>
      <w:r>
        <w:rPr>
          <w:rFonts w:ascii="Arial" w:hAnsi="Arial" w:cs="Arial"/>
          <w:sz w:val="22"/>
        </w:rPr>
        <w:t>Geografija Slovenije,1998</w:t>
      </w:r>
    </w:p>
    <w:p w:rsidR="00FC1320" w:rsidRDefault="002B5B27">
      <w:pPr>
        <w:numPr>
          <w:ilvl w:val="0"/>
          <w:numId w:val="10"/>
        </w:numPr>
        <w:rPr>
          <w:rFonts w:ascii="Arial" w:hAnsi="Arial" w:cs="Arial"/>
          <w:sz w:val="22"/>
        </w:rPr>
      </w:pPr>
      <w:r>
        <w:rPr>
          <w:rFonts w:ascii="Arial" w:hAnsi="Arial" w:cs="Arial"/>
          <w:sz w:val="22"/>
        </w:rPr>
        <w:t>Primorje, 15. zbornik slovenskih geografov; Portorož 1990 (str.29 – 34)</w:t>
      </w:r>
    </w:p>
    <w:p w:rsidR="00FC1320" w:rsidRDefault="00FC1320">
      <w:pPr>
        <w:pStyle w:val="Default"/>
        <w:jc w:val="both"/>
        <w:rPr>
          <w:color w:val="auto"/>
          <w:sz w:val="22"/>
        </w:rPr>
      </w:pPr>
    </w:p>
    <w:p w:rsidR="00FC1320" w:rsidRDefault="00FC1320">
      <w:pPr>
        <w:pStyle w:val="BodyText"/>
        <w:rPr>
          <w:rFonts w:ascii="Arial" w:hAnsi="Arial" w:cs="Arial"/>
          <w:sz w:val="20"/>
        </w:rPr>
      </w:pPr>
    </w:p>
    <w:sectPr w:rsidR="00FC13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6C5" w:rsidRDefault="008E56C5">
      <w:r>
        <w:separator/>
      </w:r>
    </w:p>
  </w:endnote>
  <w:endnote w:type="continuationSeparator" w:id="0">
    <w:p w:rsidR="008E56C5" w:rsidRDefault="008E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F6" w:rsidRDefault="00C96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20" w:rsidRDefault="002B5B27" w:rsidP="00C96AF6">
    <w:pPr>
      <w:pStyle w:val="Footer"/>
      <w:jc w:val="center"/>
      <w:rPr>
        <w:rFonts w:ascii="Arial" w:hAnsi="Arial" w:cs="Arial"/>
        <w:color w:val="C0C0C0"/>
        <w:sz w:val="20"/>
      </w:rPr>
    </w:pPr>
    <w:r>
      <w:rPr>
        <w:rStyle w:val="PageNumber"/>
        <w:rFonts w:ascii="Arial" w:hAnsi="Arial" w:cs="Arial"/>
        <w:color w:val="C0C0C0"/>
        <w:sz w:val="20"/>
      </w:rPr>
      <w:fldChar w:fldCharType="begin"/>
    </w:r>
    <w:r>
      <w:rPr>
        <w:rStyle w:val="PageNumber"/>
        <w:rFonts w:ascii="Arial" w:hAnsi="Arial" w:cs="Arial"/>
        <w:color w:val="C0C0C0"/>
        <w:sz w:val="20"/>
      </w:rPr>
      <w:instrText xml:space="preserve"> PAGE </w:instrText>
    </w:r>
    <w:r>
      <w:rPr>
        <w:rStyle w:val="PageNumber"/>
        <w:rFonts w:ascii="Arial" w:hAnsi="Arial" w:cs="Arial"/>
        <w:color w:val="C0C0C0"/>
        <w:sz w:val="20"/>
      </w:rPr>
      <w:fldChar w:fldCharType="separate"/>
    </w:r>
    <w:r>
      <w:rPr>
        <w:rStyle w:val="PageNumber"/>
        <w:rFonts w:ascii="Arial" w:hAnsi="Arial" w:cs="Arial"/>
        <w:noProof/>
        <w:color w:val="C0C0C0"/>
        <w:sz w:val="20"/>
      </w:rPr>
      <w:t>5</w:t>
    </w:r>
    <w:r>
      <w:rPr>
        <w:rStyle w:val="PageNumber"/>
        <w:rFonts w:ascii="Arial" w:hAnsi="Arial" w:cs="Arial"/>
        <w:color w:val="C0C0C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F6" w:rsidRDefault="00C9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6C5" w:rsidRDefault="008E56C5">
      <w:r>
        <w:separator/>
      </w:r>
    </w:p>
  </w:footnote>
  <w:footnote w:type="continuationSeparator" w:id="0">
    <w:p w:rsidR="008E56C5" w:rsidRDefault="008E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F6" w:rsidRDefault="00C96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F6" w:rsidRDefault="00C96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F6" w:rsidRDefault="00C96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52917A"/>
    <w:multiLevelType w:val="hybridMultilevel"/>
    <w:tmpl w:val="BD4506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A78646"/>
    <w:multiLevelType w:val="hybridMultilevel"/>
    <w:tmpl w:val="7977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F4874F"/>
    <w:multiLevelType w:val="hybridMultilevel"/>
    <w:tmpl w:val="EBBDE44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06704F"/>
    <w:multiLevelType w:val="hybridMultilevel"/>
    <w:tmpl w:val="364A29E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7E4941"/>
    <w:multiLevelType w:val="hybridMultilevel"/>
    <w:tmpl w:val="0801BD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C0E443"/>
    <w:multiLevelType w:val="hybridMultilevel"/>
    <w:tmpl w:val="2842B0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E20B64"/>
    <w:multiLevelType w:val="hybridMultilevel"/>
    <w:tmpl w:val="3C1C86D6"/>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7EDD2"/>
    <w:multiLevelType w:val="hybridMultilevel"/>
    <w:tmpl w:val="56227F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03BE015"/>
    <w:multiLevelType w:val="hybridMultilevel"/>
    <w:tmpl w:val="6E935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C24D34"/>
    <w:multiLevelType w:val="hybridMultilevel"/>
    <w:tmpl w:val="E62F1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5"/>
  </w:num>
  <w:num w:numId="5">
    <w:abstractNumId w:val="0"/>
  </w:num>
  <w:num w:numId="6">
    <w:abstractNumId w:val="8"/>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B27"/>
    <w:rsid w:val="00023539"/>
    <w:rsid w:val="002B5B27"/>
    <w:rsid w:val="008E56C5"/>
    <w:rsid w:val="00C96AF6"/>
    <w:rsid w:val="00D573FC"/>
    <w:rsid w:val="00FC1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Default"/>
    <w:next w:val="Default"/>
    <w:qFormat/>
    <w:pPr>
      <w:spacing w:before="240" w:after="80"/>
      <w:outlineLvl w:val="1"/>
    </w:pPr>
    <w:rPr>
      <w:rFonts w:cs="Times New Roman"/>
      <w:color w:val="auto"/>
      <w:sz w:val="20"/>
    </w:rPr>
  </w:style>
  <w:style w:type="paragraph" w:styleId="Heading3">
    <w:name w:val="heading 3"/>
    <w:basedOn w:val="Default"/>
    <w:next w:val="Default"/>
    <w:qFormat/>
    <w:pPr>
      <w:spacing w:before="240" w:after="60"/>
      <w:outlineLvl w:val="2"/>
    </w:pPr>
    <w:rPr>
      <w:rFonts w:cs="Times New Roman"/>
      <w:color w:val="auto"/>
      <w:sz w:val="20"/>
    </w:rPr>
  </w:style>
  <w:style w:type="paragraph" w:styleId="Heading4">
    <w:name w:val="heading 4"/>
    <w:basedOn w:val="Default"/>
    <w:next w:val="Default"/>
    <w:qFormat/>
    <w:pPr>
      <w:spacing w:before="240" w:after="60"/>
      <w:outlineLvl w:val="3"/>
    </w:pPr>
    <w:rPr>
      <w:rFonts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4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ela">
    <w:name w:val="Tabela"/>
    <w:basedOn w:val="Default"/>
    <w:next w:val="Default"/>
    <w:rPr>
      <w:rFonts w:cs="Times New Roman"/>
      <w:color w:val="auto"/>
      <w:sz w:val="20"/>
    </w:rPr>
  </w:style>
  <w:style w:type="paragraph" w:styleId="BodyText2">
    <w:name w:val="Body Text 2"/>
    <w:basedOn w:val="Normal"/>
    <w:semiHidden/>
    <w:pPr>
      <w:jc w:val="both"/>
    </w:pPr>
    <w:rPr>
      <w:rFonts w:ascii="Arial" w:hAnsi="Arial" w:cs="Arial"/>
      <w:sz w:val="20"/>
    </w:rPr>
  </w:style>
  <w:style w:type="paragraph" w:styleId="BodyText3">
    <w:name w:val="Body Text 3"/>
    <w:basedOn w:val="Normal"/>
    <w:semiHidden/>
    <w:rPr>
      <w:rFonts w:ascii="Arial" w:hAnsi="Arial" w:cs="Arial"/>
      <w:color w:val="000000"/>
      <w:sz w:val="20"/>
      <w:szCs w:val="22"/>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