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002" w:rsidRDefault="009C36EF">
      <w:pPr>
        <w:pStyle w:val="Title"/>
        <w:rPr>
          <w:rFonts w:ascii="Times New Roman" w:hAnsi="Times New Roman"/>
          <w:sz w:val="28"/>
        </w:rPr>
      </w:pPr>
      <w:bookmarkStart w:id="0" w:name="_GoBack"/>
      <w:bookmarkEnd w:id="0"/>
      <w:r>
        <w:rPr>
          <w:rFonts w:ascii="Times New Roman" w:hAnsi="Times New Roman"/>
          <w:sz w:val="28"/>
        </w:rPr>
        <w:t>ITALIJA</w:t>
      </w:r>
    </w:p>
    <w:p w:rsidR="00FE5002" w:rsidRDefault="00FE5002">
      <w:pPr>
        <w:rPr>
          <w:rFonts w:ascii="Times New Roman" w:hAnsi="Times New Roman"/>
          <w:sz w:val="24"/>
        </w:rPr>
      </w:pPr>
    </w:p>
    <w:p w:rsidR="00FE5002" w:rsidRDefault="009C36EF">
      <w:pPr>
        <w:rPr>
          <w:rFonts w:ascii="Times New Roman" w:hAnsi="Times New Roman"/>
          <w:sz w:val="24"/>
        </w:rPr>
      </w:pPr>
      <w:r>
        <w:rPr>
          <w:rFonts w:ascii="Times New Roman" w:hAnsi="Times New Roman"/>
          <w:b/>
          <w:bCs/>
          <w:sz w:val="24"/>
        </w:rPr>
        <w:t>Uradno ime</w:t>
      </w:r>
      <w:r>
        <w:rPr>
          <w:rFonts w:ascii="Times New Roman" w:hAnsi="Times New Roman"/>
          <w:sz w:val="24"/>
        </w:rPr>
        <w:t>: Republika Italija ( Republica Italiana )</w:t>
      </w:r>
    </w:p>
    <w:p w:rsidR="00FE5002" w:rsidRDefault="009C36EF">
      <w:pPr>
        <w:rPr>
          <w:rFonts w:ascii="Times New Roman" w:hAnsi="Times New Roman"/>
          <w:sz w:val="24"/>
        </w:rPr>
      </w:pPr>
      <w:r>
        <w:rPr>
          <w:rFonts w:ascii="Times New Roman" w:hAnsi="Times New Roman"/>
          <w:b/>
          <w:bCs/>
          <w:sz w:val="24"/>
        </w:rPr>
        <w:t>Časovni pas</w:t>
      </w:r>
      <w:r>
        <w:rPr>
          <w:rFonts w:ascii="Times New Roman" w:hAnsi="Times New Roman"/>
          <w:sz w:val="24"/>
        </w:rPr>
        <w:t>: SEČ + 0</w:t>
      </w:r>
    </w:p>
    <w:p w:rsidR="00FE5002" w:rsidRDefault="009C36EF">
      <w:pPr>
        <w:rPr>
          <w:rFonts w:ascii="Times New Roman" w:hAnsi="Times New Roman"/>
          <w:sz w:val="24"/>
        </w:rPr>
      </w:pPr>
      <w:r>
        <w:rPr>
          <w:rFonts w:ascii="Times New Roman" w:hAnsi="Times New Roman"/>
          <w:b/>
          <w:bCs/>
          <w:sz w:val="24"/>
        </w:rPr>
        <w:t>Površina</w:t>
      </w:r>
      <w:r>
        <w:rPr>
          <w:rFonts w:ascii="Times New Roman" w:hAnsi="Times New Roman"/>
          <w:sz w:val="24"/>
        </w:rPr>
        <w:t>: 301 302 km na kvadrat</w:t>
      </w:r>
    </w:p>
    <w:p w:rsidR="00FE5002" w:rsidRDefault="009C36EF">
      <w:pPr>
        <w:rPr>
          <w:rFonts w:ascii="Times New Roman" w:hAnsi="Times New Roman"/>
          <w:sz w:val="24"/>
        </w:rPr>
      </w:pPr>
      <w:r>
        <w:rPr>
          <w:rFonts w:ascii="Times New Roman" w:hAnsi="Times New Roman"/>
          <w:b/>
          <w:bCs/>
          <w:sz w:val="24"/>
        </w:rPr>
        <w:t>Državna ureditev</w:t>
      </w:r>
      <w:r>
        <w:rPr>
          <w:rFonts w:ascii="Times New Roman" w:hAnsi="Times New Roman"/>
          <w:sz w:val="24"/>
        </w:rPr>
        <w:t>: Parlamentarna demokratična republika z dvodomnim parlamentom ( Kraljevina ( 1861-1946); republika po letu 1946; od leta 1958 članica ES. Deli se na 20 regij s 94 provincami)</w:t>
      </w:r>
    </w:p>
    <w:p w:rsidR="00FE5002" w:rsidRDefault="009C36EF">
      <w:pPr>
        <w:rPr>
          <w:rFonts w:ascii="Times New Roman" w:hAnsi="Times New Roman"/>
          <w:b/>
          <w:bCs/>
          <w:sz w:val="24"/>
        </w:rPr>
      </w:pPr>
      <w:r>
        <w:rPr>
          <w:rFonts w:ascii="Times New Roman" w:hAnsi="Times New Roman"/>
          <w:b/>
          <w:bCs/>
          <w:sz w:val="24"/>
        </w:rPr>
        <w:t>Meje na kopnem</w:t>
      </w:r>
      <w:r>
        <w:rPr>
          <w:rFonts w:ascii="Times New Roman" w:hAnsi="Times New Roman"/>
          <w:sz w:val="24"/>
        </w:rPr>
        <w:t>: 1.935,2 km</w:t>
      </w:r>
      <w:r>
        <w:rPr>
          <w:rFonts w:ascii="Times New Roman" w:hAnsi="Times New Roman"/>
          <w:sz w:val="24"/>
        </w:rPr>
        <w:br/>
      </w:r>
      <w:r>
        <w:rPr>
          <w:rFonts w:ascii="Times New Roman" w:hAnsi="Times New Roman"/>
          <w:b/>
          <w:bCs/>
          <w:sz w:val="24"/>
        </w:rPr>
        <w:t>Meje na morju</w:t>
      </w:r>
      <w:r>
        <w:rPr>
          <w:rFonts w:ascii="Times New Roman" w:hAnsi="Times New Roman"/>
          <w:sz w:val="24"/>
        </w:rPr>
        <w:t>: 4.996 km</w:t>
      </w:r>
      <w:r>
        <w:rPr>
          <w:rFonts w:ascii="Times New Roman" w:hAnsi="Times New Roman"/>
          <w:sz w:val="24"/>
        </w:rPr>
        <w:br/>
      </w:r>
      <w:r>
        <w:rPr>
          <w:rFonts w:ascii="Times New Roman" w:hAnsi="Times New Roman"/>
          <w:b/>
          <w:bCs/>
          <w:sz w:val="24"/>
        </w:rPr>
        <w:t>Upravna razdelitev</w:t>
      </w:r>
      <w:r>
        <w:rPr>
          <w:rFonts w:ascii="Times New Roman" w:hAnsi="Times New Roman"/>
          <w:sz w:val="24"/>
        </w:rPr>
        <w:t>: 20 regij, pokrajine, občine</w:t>
      </w:r>
    </w:p>
    <w:p w:rsidR="00FE5002" w:rsidRDefault="009C36EF">
      <w:pPr>
        <w:rPr>
          <w:rFonts w:ascii="Times New Roman" w:hAnsi="Times New Roman"/>
          <w:sz w:val="24"/>
        </w:rPr>
      </w:pPr>
      <w:r>
        <w:rPr>
          <w:rFonts w:ascii="Times New Roman" w:hAnsi="Times New Roman"/>
          <w:b/>
          <w:bCs/>
          <w:sz w:val="24"/>
        </w:rPr>
        <w:t>Glavno mesto</w:t>
      </w:r>
      <w:r>
        <w:rPr>
          <w:rFonts w:ascii="Times New Roman" w:hAnsi="Times New Roman"/>
          <w:sz w:val="24"/>
        </w:rPr>
        <w:t>: Rim ( Roma ); 2 791 000 prebivalcev ( 1994 )</w:t>
      </w:r>
    </w:p>
    <w:p w:rsidR="00FE5002" w:rsidRDefault="009C36EF">
      <w:pPr>
        <w:rPr>
          <w:rFonts w:ascii="Times New Roman" w:hAnsi="Times New Roman"/>
          <w:sz w:val="24"/>
        </w:rPr>
      </w:pPr>
      <w:r>
        <w:rPr>
          <w:rFonts w:ascii="Times New Roman" w:hAnsi="Times New Roman"/>
          <w:b/>
          <w:bCs/>
          <w:sz w:val="24"/>
        </w:rPr>
        <w:t>Prebivalstvo</w:t>
      </w:r>
      <w:r>
        <w:rPr>
          <w:rFonts w:ascii="Times New Roman" w:hAnsi="Times New Roman"/>
          <w:sz w:val="24"/>
        </w:rPr>
        <w:t>: 58 138 394 ( l. 1994 )</w:t>
      </w:r>
    </w:p>
    <w:p w:rsidR="00FE5002" w:rsidRDefault="009C36EF">
      <w:pPr>
        <w:rPr>
          <w:rFonts w:ascii="Times New Roman" w:hAnsi="Times New Roman"/>
          <w:sz w:val="24"/>
        </w:rPr>
      </w:pPr>
      <w:r>
        <w:rPr>
          <w:rFonts w:ascii="Times New Roman" w:hAnsi="Times New Roman"/>
          <w:b/>
          <w:bCs/>
          <w:sz w:val="24"/>
        </w:rPr>
        <w:t>Uradni jezik</w:t>
      </w:r>
      <w:r>
        <w:rPr>
          <w:rFonts w:ascii="Times New Roman" w:hAnsi="Times New Roman"/>
          <w:sz w:val="24"/>
        </w:rPr>
        <w:t>: Italijanski. V rabi tudi slovenski ( Trst, Gorica, Benečija ); nemški ( Zg. Poadižje in J Tirolska ) in francoski ( Valle d'Aosta )</w:t>
      </w:r>
    </w:p>
    <w:p w:rsidR="00FE5002" w:rsidRDefault="009C36EF">
      <w:pPr>
        <w:rPr>
          <w:rFonts w:ascii="Times New Roman" w:hAnsi="Times New Roman"/>
          <w:sz w:val="24"/>
        </w:rPr>
      </w:pPr>
      <w:r>
        <w:rPr>
          <w:rFonts w:ascii="Times New Roman" w:hAnsi="Times New Roman"/>
          <w:b/>
          <w:bCs/>
          <w:sz w:val="24"/>
        </w:rPr>
        <w:t>Narodnostna sestava</w:t>
      </w:r>
      <w:r>
        <w:rPr>
          <w:rFonts w:ascii="Times New Roman" w:hAnsi="Times New Roman"/>
          <w:sz w:val="24"/>
        </w:rPr>
        <w:t>: Italijani 94,1%; Sardinci 2,7%;Furlani 1,3%; ostali 1,9% ( J. Tirolci, Slovenci, Landini, Francozi )</w:t>
      </w:r>
    </w:p>
    <w:p w:rsidR="00FE5002" w:rsidRDefault="009C36EF">
      <w:pPr>
        <w:rPr>
          <w:rFonts w:ascii="Times New Roman" w:hAnsi="Times New Roman"/>
          <w:sz w:val="24"/>
        </w:rPr>
      </w:pPr>
      <w:r>
        <w:rPr>
          <w:rFonts w:ascii="Times New Roman" w:hAnsi="Times New Roman"/>
          <w:b/>
          <w:bCs/>
          <w:sz w:val="24"/>
        </w:rPr>
        <w:t>Verstva</w:t>
      </w:r>
      <w:r>
        <w:rPr>
          <w:rFonts w:ascii="Times New Roman" w:hAnsi="Times New Roman"/>
          <w:sz w:val="24"/>
        </w:rPr>
        <w:t>: Katoličani 83,2%; ateisti 16,2%; ostali 0,6%</w:t>
      </w:r>
    </w:p>
    <w:p w:rsidR="00FE5002" w:rsidRDefault="009C36EF">
      <w:pPr>
        <w:rPr>
          <w:rFonts w:ascii="Times New Roman" w:hAnsi="Times New Roman"/>
          <w:sz w:val="24"/>
        </w:rPr>
      </w:pPr>
      <w:r>
        <w:rPr>
          <w:rFonts w:ascii="Times New Roman" w:hAnsi="Times New Roman"/>
          <w:b/>
          <w:bCs/>
          <w:sz w:val="24"/>
        </w:rPr>
        <w:t>Delež mestnega prebivalstva</w:t>
      </w:r>
      <w:r>
        <w:rPr>
          <w:rFonts w:ascii="Times New Roman" w:hAnsi="Times New Roman"/>
          <w:sz w:val="24"/>
        </w:rPr>
        <w:t>: 67,1%</w:t>
      </w:r>
    </w:p>
    <w:p w:rsidR="00FE5002" w:rsidRDefault="009C36EF">
      <w:pPr>
        <w:rPr>
          <w:rFonts w:ascii="Times New Roman" w:hAnsi="Times New Roman"/>
          <w:sz w:val="24"/>
        </w:rPr>
      </w:pPr>
      <w:r>
        <w:rPr>
          <w:rFonts w:ascii="Times New Roman" w:hAnsi="Times New Roman"/>
          <w:b/>
          <w:bCs/>
          <w:sz w:val="24"/>
        </w:rPr>
        <w:t>Delež aktivnega prebivalstva</w:t>
      </w:r>
      <w:r>
        <w:rPr>
          <w:rFonts w:ascii="Times New Roman" w:hAnsi="Times New Roman"/>
          <w:sz w:val="24"/>
        </w:rPr>
        <w:t>: 42,5% ( I. 7,7%; II. 28,5%; III. 63,8%)</w:t>
      </w:r>
    </w:p>
    <w:p w:rsidR="00FE5002" w:rsidRDefault="009C36EF">
      <w:pPr>
        <w:rPr>
          <w:rFonts w:ascii="Times New Roman" w:hAnsi="Times New Roman"/>
          <w:sz w:val="24"/>
        </w:rPr>
      </w:pPr>
      <w:r>
        <w:rPr>
          <w:rFonts w:ascii="Times New Roman" w:hAnsi="Times New Roman"/>
          <w:b/>
          <w:bCs/>
          <w:sz w:val="24"/>
        </w:rPr>
        <w:t>Pričakovano trajanje življenja</w:t>
      </w:r>
      <w:r>
        <w:rPr>
          <w:rFonts w:ascii="Times New Roman" w:hAnsi="Times New Roman"/>
          <w:sz w:val="24"/>
        </w:rPr>
        <w:t xml:space="preserve"> </w:t>
      </w:r>
      <w:r>
        <w:rPr>
          <w:rFonts w:ascii="Times New Roman" w:hAnsi="Times New Roman"/>
          <w:b/>
          <w:bCs/>
          <w:sz w:val="24"/>
        </w:rPr>
        <w:t>( 1994 )</w:t>
      </w:r>
      <w:r>
        <w:rPr>
          <w:rFonts w:ascii="Times New Roman" w:hAnsi="Times New Roman"/>
          <w:sz w:val="24"/>
        </w:rPr>
        <w:t>: ženske 81 let, moški 74,4 leta</w:t>
      </w:r>
    </w:p>
    <w:p w:rsidR="00FE5002" w:rsidRDefault="009C36EF">
      <w:pPr>
        <w:rPr>
          <w:rFonts w:ascii="Times New Roman" w:hAnsi="Times New Roman"/>
          <w:sz w:val="24"/>
        </w:rPr>
      </w:pPr>
      <w:r>
        <w:rPr>
          <w:rFonts w:ascii="Times New Roman" w:hAnsi="Times New Roman"/>
          <w:b/>
          <w:bCs/>
          <w:sz w:val="24"/>
        </w:rPr>
        <w:t>Demografska gibanja ( 1989 )</w:t>
      </w:r>
      <w:r>
        <w:rPr>
          <w:rFonts w:ascii="Times New Roman" w:hAnsi="Times New Roman"/>
          <w:sz w:val="24"/>
        </w:rPr>
        <w:t>: Rodnost 9,7</w:t>
      </w:r>
      <w:r>
        <w:rPr>
          <w:rFonts w:ascii="Times New Roman" w:hAnsi="Times New Roman"/>
          <w:sz w:val="24"/>
        </w:rPr>
        <w:sym w:font="Symbol" w:char="F025"/>
      </w:r>
      <w:r>
        <w:rPr>
          <w:rFonts w:ascii="Times New Roman" w:hAnsi="Times New Roman"/>
          <w:sz w:val="24"/>
        </w:rPr>
        <w:t>, umirljivost 9,1%; n.p. 0,6%</w:t>
      </w:r>
    </w:p>
    <w:p w:rsidR="00FE5002" w:rsidRDefault="009C36EF">
      <w:pPr>
        <w:rPr>
          <w:rFonts w:ascii="Times New Roman" w:hAnsi="Times New Roman"/>
          <w:sz w:val="24"/>
        </w:rPr>
      </w:pPr>
      <w:r>
        <w:rPr>
          <w:rFonts w:ascii="Times New Roman" w:hAnsi="Times New Roman"/>
          <w:b/>
          <w:bCs/>
          <w:sz w:val="24"/>
        </w:rPr>
        <w:t>Denarna enota</w:t>
      </w:r>
      <w:r>
        <w:rPr>
          <w:rFonts w:ascii="Times New Roman" w:hAnsi="Times New Roman"/>
          <w:sz w:val="24"/>
        </w:rPr>
        <w:t>: italijanska lira; 1 Lit = 100 centenzimov</w:t>
      </w:r>
    </w:p>
    <w:p w:rsidR="00FE5002" w:rsidRDefault="009C36EF">
      <w:pPr>
        <w:rPr>
          <w:rFonts w:ascii="Times New Roman" w:hAnsi="Times New Roman"/>
          <w:sz w:val="24"/>
        </w:rPr>
      </w:pPr>
      <w:r>
        <w:rPr>
          <w:rFonts w:ascii="Times New Roman" w:hAnsi="Times New Roman"/>
          <w:b/>
          <w:bCs/>
          <w:sz w:val="24"/>
        </w:rPr>
        <w:t>BDP</w:t>
      </w:r>
      <w:r>
        <w:rPr>
          <w:rFonts w:ascii="Times New Roman" w:hAnsi="Times New Roman"/>
          <w:sz w:val="24"/>
        </w:rPr>
        <w:t>: 20000 USD/prebivalca ( 1998 )</w:t>
      </w:r>
    </w:p>
    <w:p w:rsidR="00FE5002" w:rsidRDefault="009C36EF">
      <w:pPr>
        <w:rPr>
          <w:rFonts w:ascii="Times New Roman" w:hAnsi="Times New Roman"/>
          <w:sz w:val="24"/>
        </w:rPr>
      </w:pPr>
      <w:r>
        <w:rPr>
          <w:rFonts w:ascii="Times New Roman" w:hAnsi="Times New Roman"/>
          <w:b/>
          <w:bCs/>
          <w:sz w:val="24"/>
        </w:rPr>
        <w:t>Stopnja gospodarske rasti</w:t>
      </w:r>
      <w:r>
        <w:rPr>
          <w:rFonts w:ascii="Times New Roman" w:hAnsi="Times New Roman"/>
          <w:sz w:val="24"/>
        </w:rPr>
        <w:t>: 2,9% (1983-1995)</w:t>
      </w:r>
      <w:r>
        <w:rPr>
          <w:rFonts w:ascii="Times New Roman" w:hAnsi="Times New Roman"/>
          <w:sz w:val="24"/>
        </w:rPr>
        <w:br/>
      </w:r>
      <w:r>
        <w:rPr>
          <w:rFonts w:ascii="Times New Roman" w:hAnsi="Times New Roman"/>
          <w:b/>
          <w:bCs/>
          <w:sz w:val="24"/>
        </w:rPr>
        <w:t>Odstotek nezaposlenih</w:t>
      </w:r>
      <w:r>
        <w:rPr>
          <w:rFonts w:ascii="Times New Roman" w:hAnsi="Times New Roman"/>
          <w:sz w:val="24"/>
        </w:rPr>
        <w:t xml:space="preserve"> 12% (1995)</w:t>
      </w:r>
      <w:r>
        <w:rPr>
          <w:rFonts w:ascii="Times New Roman" w:hAnsi="Times New Roman"/>
          <w:sz w:val="24"/>
        </w:rPr>
        <w:br/>
      </w:r>
      <w:r>
        <w:rPr>
          <w:rFonts w:ascii="Times New Roman" w:hAnsi="Times New Roman"/>
          <w:b/>
          <w:bCs/>
          <w:sz w:val="24"/>
        </w:rPr>
        <w:t>Stopnja inflacije</w:t>
      </w:r>
      <w:r>
        <w:rPr>
          <w:rFonts w:ascii="Times New Roman" w:hAnsi="Times New Roman"/>
          <w:sz w:val="24"/>
        </w:rPr>
        <w:t>: 5,7% (1995)</w:t>
      </w:r>
    </w:p>
    <w:p w:rsidR="00FE5002" w:rsidRDefault="009C36EF">
      <w:pPr>
        <w:pStyle w:val="Heading1"/>
        <w:rPr>
          <w:rFonts w:ascii="Times New Roman" w:hAnsi="Times New Roman"/>
        </w:rPr>
      </w:pPr>
      <w:r>
        <w:rPr>
          <w:rFonts w:ascii="Times New Roman" w:hAnsi="Times New Roman"/>
          <w:b/>
          <w:bCs/>
        </w:rPr>
        <w:t>Poraba energije/prebivalca</w:t>
      </w:r>
      <w:r>
        <w:rPr>
          <w:rFonts w:ascii="Times New Roman" w:hAnsi="Times New Roman"/>
        </w:rPr>
        <w:t>: 4452 Kwh</w:t>
      </w:r>
    </w:p>
    <w:p w:rsidR="00FE5002" w:rsidRDefault="009C36EF">
      <w:pPr>
        <w:pStyle w:val="Heading1"/>
        <w:rPr>
          <w:rFonts w:ascii="Times New Roman" w:hAnsi="Times New Roman"/>
        </w:rPr>
      </w:pPr>
      <w:r>
        <w:rPr>
          <w:rFonts w:ascii="Times New Roman" w:hAnsi="Times New Roman"/>
          <w:b/>
          <w:bCs/>
        </w:rPr>
        <w:t>Raba tal</w:t>
      </w:r>
      <w:r>
        <w:rPr>
          <w:rFonts w:ascii="Times New Roman" w:hAnsi="Times New Roman"/>
        </w:rPr>
        <w:t>:  32% Njive</w:t>
      </w:r>
    </w:p>
    <w:p w:rsidR="00FE5002" w:rsidRDefault="009C36EF">
      <w:pPr>
        <w:tabs>
          <w:tab w:val="left" w:pos="1260"/>
        </w:tabs>
        <w:rPr>
          <w:rFonts w:ascii="Times New Roman" w:hAnsi="Times New Roman"/>
          <w:sz w:val="24"/>
        </w:rPr>
      </w:pPr>
      <w:r>
        <w:rPr>
          <w:rFonts w:ascii="Times New Roman" w:hAnsi="Times New Roman"/>
          <w:sz w:val="24"/>
        </w:rPr>
        <w:tab/>
        <w:t>17% travniki, pašniki</w:t>
      </w:r>
    </w:p>
    <w:p w:rsidR="00FE5002" w:rsidRDefault="009C36EF">
      <w:pPr>
        <w:tabs>
          <w:tab w:val="left" w:pos="1260"/>
        </w:tabs>
        <w:rPr>
          <w:rFonts w:ascii="Times New Roman" w:hAnsi="Times New Roman"/>
          <w:sz w:val="24"/>
        </w:rPr>
      </w:pPr>
      <w:r>
        <w:rPr>
          <w:rFonts w:ascii="Times New Roman" w:hAnsi="Times New Roman"/>
          <w:sz w:val="24"/>
        </w:rPr>
        <w:tab/>
        <w:t>22% gozd, makija</w:t>
      </w:r>
    </w:p>
    <w:p w:rsidR="00FE5002" w:rsidRDefault="009C36EF">
      <w:pPr>
        <w:tabs>
          <w:tab w:val="left" w:pos="1260"/>
        </w:tabs>
        <w:rPr>
          <w:rFonts w:ascii="Times New Roman" w:hAnsi="Times New Roman"/>
          <w:sz w:val="24"/>
        </w:rPr>
      </w:pPr>
      <w:r>
        <w:rPr>
          <w:rFonts w:ascii="Times New Roman" w:hAnsi="Times New Roman"/>
          <w:sz w:val="24"/>
        </w:rPr>
        <w:tab/>
        <w:t>9% vrtovi, nasadi, drevesnice</w:t>
      </w:r>
    </w:p>
    <w:p w:rsidR="00FE5002" w:rsidRDefault="009C36EF">
      <w:pPr>
        <w:tabs>
          <w:tab w:val="left" w:pos="1260"/>
        </w:tabs>
        <w:rPr>
          <w:rFonts w:ascii="Times New Roman" w:hAnsi="Times New Roman"/>
          <w:sz w:val="24"/>
        </w:rPr>
      </w:pPr>
      <w:r>
        <w:rPr>
          <w:rFonts w:ascii="Times New Roman" w:hAnsi="Times New Roman"/>
          <w:sz w:val="24"/>
        </w:rPr>
        <w:tab/>
        <w:t>20% ostalo</w:t>
      </w:r>
    </w:p>
    <w:p w:rsidR="00FE5002" w:rsidRDefault="009C36EF">
      <w:pPr>
        <w:pStyle w:val="BodyText"/>
        <w:rPr>
          <w:rFonts w:ascii="Times New Roman" w:hAnsi="Times New Roman"/>
        </w:rPr>
      </w:pPr>
      <w:r>
        <w:rPr>
          <w:rFonts w:ascii="Times New Roman" w:hAnsi="Times New Roman"/>
          <w:b/>
          <w:bCs/>
        </w:rPr>
        <w:t>Podnebje</w:t>
      </w:r>
      <w:r>
        <w:rPr>
          <w:rFonts w:ascii="Times New Roman" w:hAnsi="Times New Roman"/>
        </w:rPr>
        <w:t>: V Alpah gorsko ( 1500 – 2000 mm padavin ), v Padski nižini submediteransko ( 500 – 600 mm padavin ), na J ( Ligursko primorje ) mediteransko ( 400 – 500 mm padavin ), SMT 7 – 10°C (I), 24 – 27°C (VII)</w:t>
      </w:r>
    </w:p>
    <w:p w:rsidR="00FE5002" w:rsidRDefault="009C36EF">
      <w:pPr>
        <w:tabs>
          <w:tab w:val="left" w:pos="1260"/>
        </w:tabs>
        <w:rPr>
          <w:rFonts w:ascii="Times New Roman" w:hAnsi="Times New Roman"/>
          <w:sz w:val="24"/>
        </w:rPr>
      </w:pPr>
      <w:r>
        <w:rPr>
          <w:rFonts w:ascii="Times New Roman" w:hAnsi="Times New Roman"/>
          <w:b/>
          <w:bCs/>
          <w:sz w:val="24"/>
        </w:rPr>
        <w:t>Kmetijstvo</w:t>
      </w:r>
      <w:r>
        <w:rPr>
          <w:rFonts w:ascii="Times New Roman" w:hAnsi="Times New Roman"/>
          <w:sz w:val="24"/>
        </w:rPr>
        <w:t>: Žito, riž, oljke, sadje, vino</w:t>
      </w:r>
    </w:p>
    <w:p w:rsidR="00FE5002" w:rsidRDefault="009C36EF">
      <w:pPr>
        <w:pStyle w:val="Heading1"/>
        <w:tabs>
          <w:tab w:val="left" w:pos="1260"/>
        </w:tabs>
        <w:rPr>
          <w:rFonts w:ascii="Times New Roman" w:hAnsi="Times New Roman"/>
        </w:rPr>
      </w:pPr>
      <w:r>
        <w:rPr>
          <w:rFonts w:ascii="Times New Roman" w:hAnsi="Times New Roman"/>
          <w:b/>
          <w:bCs/>
        </w:rPr>
        <w:t>Industrija</w:t>
      </w:r>
      <w:r>
        <w:rPr>
          <w:rFonts w:ascii="Times New Roman" w:hAnsi="Times New Roman"/>
        </w:rPr>
        <w:t>: avtomobili, stroji živila</w:t>
      </w:r>
      <w:r>
        <w:rPr>
          <w:rFonts w:ascii="Times New Roman" w:hAnsi="Times New Roman"/>
        </w:rPr>
        <w:tab/>
      </w:r>
    </w:p>
    <w:p w:rsidR="00FE5002" w:rsidRDefault="00FE5002">
      <w:pPr>
        <w:rPr>
          <w:rFonts w:ascii="Times New Roman" w:hAnsi="Times New Roman"/>
          <w:sz w:val="24"/>
        </w:rPr>
      </w:pPr>
    </w:p>
    <w:p w:rsidR="00FE5002" w:rsidRDefault="009C36EF">
      <w:pPr>
        <w:pStyle w:val="NormalWeb"/>
        <w:rPr>
          <w:b/>
          <w:bCs/>
          <w:color w:val="000000"/>
          <w:u w:val="single"/>
        </w:rPr>
      </w:pPr>
      <w:r>
        <w:rPr>
          <w:b/>
          <w:bCs/>
          <w:color w:val="000000"/>
          <w:u w:val="single"/>
        </w:rPr>
        <w:t>Uvod:</w:t>
      </w:r>
    </w:p>
    <w:p w:rsidR="00FE5002" w:rsidRDefault="009C36EF">
      <w:pPr>
        <w:pStyle w:val="NormalWeb"/>
        <w:rPr>
          <w:color w:val="000000"/>
        </w:rPr>
      </w:pPr>
      <w:r>
        <w:rPr>
          <w:color w:val="000000"/>
        </w:rPr>
        <w:t xml:space="preserve">Italija obsega Padsko nižino in alpski svet na severu ter Apeninski polotok z otokoma Sicilijo in Sardinijo na jugu. Tri četrtine italijanskih meja odpade na morske obale in od tod izhaja njena navezanost na morje. Do odkritja Amerike je bilo težišče prometa v Sredozemlju in je bila polotoška in otoška Italija pomembnejša od severne, hitreje so se razvijala mesta Rim, Neapelj, Pisa, Firence in druga. Odkar pa se je težišče pomorstva premaknilo na Atlantski ocean in s tem tudi žarišče družbenogospodarskega razvoja proti severu Evrope, se je tudi v Italiji težišče razvoja preneslo v tej smeri, zlasti v Padsko nižino. Ob pomembnih prometnih poteh in čezalpskih prehodih proti zahodni Evropi sta se tukaj razvili glavni italijanski </w:t>
      </w:r>
      <w:r>
        <w:rPr>
          <w:color w:val="000000"/>
        </w:rPr>
        <w:lastRenderedPageBreak/>
        <w:t xml:space="preserve">pomorsko-trgovski republiki Benetke in Genova, kjer sta se predindustrijski dobi razvila manufaktura in meščanstvo. Tudi industrijski razvoj je dal prednost prometno bolje povezanim severnoitalijanskim pristaniščem pred pristanišči italijanskega juga. </w:t>
      </w:r>
    </w:p>
    <w:p w:rsidR="00FE5002" w:rsidRDefault="009C36EF">
      <w:pPr>
        <w:pStyle w:val="NormalWeb"/>
        <w:rPr>
          <w:b/>
          <w:bCs/>
          <w:color w:val="000000"/>
        </w:rPr>
      </w:pPr>
      <w:r>
        <w:rPr>
          <w:b/>
          <w:bCs/>
          <w:color w:val="000000"/>
        </w:rPr>
        <w:t> </w:t>
      </w:r>
      <w:r>
        <w:rPr>
          <w:b/>
          <w:bCs/>
          <w:color w:val="000000"/>
          <w:u w:val="single"/>
        </w:rPr>
        <w:t>Podnebje</w:t>
      </w:r>
      <w:r>
        <w:rPr>
          <w:b/>
          <w:bCs/>
          <w:color w:val="000000"/>
        </w:rPr>
        <w:t>:</w:t>
      </w:r>
    </w:p>
    <w:p w:rsidR="00FE5002" w:rsidRDefault="009C36EF">
      <w:pPr>
        <w:pStyle w:val="NormalWeb"/>
        <w:rPr>
          <w:color w:val="000000"/>
        </w:rPr>
      </w:pPr>
      <w:r>
        <w:rPr>
          <w:color w:val="000000"/>
        </w:rPr>
        <w:t>Podnebje v Severni Italiji je submediteransko, v Ligurskem primorju pa že izrazito mediteransko. V Padski nižini, ki je zaprta proti severu in odprta proti zahodu, so poletja vroča, zime pa dokaj hladne s temperaturami komaj nad 0° C, padavin je le 700mm-800mm. V Alpah se ekstremi seveda povečujejo, v Muzcih nad Benečijo pade blizu 3900mm padavin. Podnebje polotoške in otoške Italije je izrazito sredozemsko s suhim in vročim poletjem, milimi zimami ter dežjem v zimskem delu leta. V nizkem svetu je padavin 600-800mm, zato morajo kmetijska zemljišča namakati. Na Siciliji in Sardiniji je padavin še manj, zato pa v višjih predelih Apeninov narastejo tudi do 3000mm.</w:t>
      </w:r>
    </w:p>
    <w:p w:rsidR="00FE5002" w:rsidRDefault="009C36EF">
      <w:pPr>
        <w:pStyle w:val="NormalWeb"/>
        <w:rPr>
          <w:b/>
          <w:bCs/>
          <w:color w:val="000000"/>
        </w:rPr>
      </w:pPr>
      <w:r>
        <w:rPr>
          <w:color w:val="000000"/>
        </w:rPr>
        <w:t> </w:t>
      </w:r>
      <w:r>
        <w:rPr>
          <w:b/>
          <w:bCs/>
          <w:color w:val="000000"/>
          <w:u w:val="single"/>
        </w:rPr>
        <w:t>Rastje</w:t>
      </w:r>
      <w:r>
        <w:rPr>
          <w:b/>
          <w:bCs/>
          <w:color w:val="000000"/>
        </w:rPr>
        <w:t>:</w:t>
      </w:r>
    </w:p>
    <w:p w:rsidR="00FE5002" w:rsidRDefault="009C36EF">
      <w:pPr>
        <w:pStyle w:val="NormalWeb"/>
        <w:rPr>
          <w:color w:val="000000"/>
        </w:rPr>
      </w:pPr>
      <w:r>
        <w:rPr>
          <w:color w:val="000000"/>
        </w:rPr>
        <w:t>Za kmetijstvo najbolj primerna je Padska nižina s pridelavo koruze, sladkorne pese in riža, ki ga Italija pridela največ v Evropi. Druga območja so zaradi slabših prsti manj primerna za poljedelstvo, a so z intenzivno obdelavo, melioracijami, gnojenjem in drugimi ukrepi dosegla dokaj visoko pridelavo, na jugu predvsem južnega sadja, zelenjave pa tudi pšenice. V pridelavi vina je Italija prva na svetu.</w:t>
      </w:r>
    </w:p>
    <w:p w:rsidR="00FE5002" w:rsidRDefault="009C36EF">
      <w:pPr>
        <w:pStyle w:val="NormalWeb"/>
        <w:rPr>
          <w:b/>
          <w:bCs/>
          <w:color w:val="000000"/>
        </w:rPr>
      </w:pPr>
      <w:r>
        <w:rPr>
          <w:color w:val="000000"/>
        </w:rPr>
        <w:t> </w:t>
      </w:r>
      <w:r>
        <w:rPr>
          <w:b/>
          <w:bCs/>
          <w:color w:val="000000"/>
          <w:u w:val="single"/>
        </w:rPr>
        <w:t>Reke</w:t>
      </w:r>
      <w:r>
        <w:rPr>
          <w:b/>
          <w:bCs/>
          <w:color w:val="000000"/>
        </w:rPr>
        <w:t>:</w:t>
      </w:r>
    </w:p>
    <w:p w:rsidR="00FE5002" w:rsidRDefault="009C36EF">
      <w:pPr>
        <w:pStyle w:val="NormalWeb"/>
        <w:rPr>
          <w:color w:val="000000"/>
        </w:rPr>
      </w:pPr>
      <w:r>
        <w:rPr>
          <w:color w:val="000000"/>
        </w:rPr>
        <w:t>Padsko nižino so nasule reka Pad s svojimi alpskimi pritoki in druge alpske reke (Adiža, Brenta, Piava, Tilment, Soča). Nanesle so obilo proda na severovzhodnem obrobju in peska v osrčje ravnine. Pad skupaj z drugimi rekami podaljšuje svojo delto v Jadransko morje, zato je obala nizka, polna peščenih sipin, lagun in močvirij. Pad zasipava tudi svojo lastno strugo in jo s tem dviga nad ravnino. Zato jo je bilo treba zavarovati z nasipi.</w:t>
      </w:r>
    </w:p>
    <w:p w:rsidR="00FE5002" w:rsidRDefault="009C36EF">
      <w:pPr>
        <w:pStyle w:val="NormalWeb"/>
        <w:rPr>
          <w:b/>
          <w:bCs/>
          <w:color w:val="000000"/>
        </w:rPr>
      </w:pPr>
      <w:r>
        <w:rPr>
          <w:b/>
          <w:bCs/>
          <w:color w:val="000000"/>
          <w:u w:val="single"/>
        </w:rPr>
        <w:t>Gospodarstvo</w:t>
      </w:r>
      <w:r>
        <w:rPr>
          <w:b/>
          <w:bCs/>
          <w:color w:val="000000"/>
        </w:rPr>
        <w:t>:</w:t>
      </w:r>
    </w:p>
    <w:p w:rsidR="00FE5002" w:rsidRDefault="009C36EF">
      <w:pPr>
        <w:pStyle w:val="NormalWeb"/>
        <w:rPr>
          <w:color w:val="000000"/>
        </w:rPr>
      </w:pPr>
      <w:r>
        <w:rPr>
          <w:color w:val="000000"/>
        </w:rPr>
        <w:t>Bolj kot za katerokoli drugo evropsko državo je za Italijo značilna dvojnost v gospodarski razvitosti: industrijsko in gospodarsko nerazviti sever s svojo avtomobilsko in drugo industrijo štejejo k evropski razvojni osi; nerazviti kmetijski in prometno odmaknjeni jug pa išče možnosti gospodarskega razvoja v industriji in turizmu.</w:t>
      </w:r>
    </w:p>
    <w:p w:rsidR="00FE5002" w:rsidRDefault="009C36EF">
      <w:pPr>
        <w:textAlignment w:val="top"/>
        <w:rPr>
          <w:rStyle w:val="text1"/>
          <w:rFonts w:ascii="Times New Roman" w:hAnsi="Times New Roman"/>
        </w:rPr>
      </w:pPr>
      <w:r>
        <w:rPr>
          <w:rStyle w:val="text1"/>
          <w:rFonts w:ascii="Times New Roman" w:hAnsi="Times New Roman" w:hint="eastAsia"/>
        </w:rPr>
        <w:t>Od začetka</w:t>
      </w:r>
      <w:r>
        <w:rPr>
          <w:rStyle w:val="text1"/>
          <w:rFonts w:ascii="Times New Roman" w:hAnsi="Times New Roman"/>
        </w:rPr>
        <w:t xml:space="preserve"> </w:t>
      </w:r>
      <w:r>
        <w:rPr>
          <w:rStyle w:val="text1"/>
          <w:rFonts w:ascii="Times New Roman" w:hAnsi="Times New Roman" w:hint="eastAsia"/>
        </w:rPr>
        <w:t>osemdesetih let je v italijanskem gospodarstvu moč opaziti naj</w:t>
      </w:r>
      <w:r>
        <w:rPr>
          <w:rStyle w:val="text1"/>
          <w:rFonts w:ascii="Times New Roman" w:hAnsi="Times New Roman"/>
        </w:rPr>
        <w:t xml:space="preserve"> </w:t>
      </w:r>
      <w:r>
        <w:rPr>
          <w:rStyle w:val="text1"/>
          <w:rFonts w:ascii="Times New Roman" w:hAnsi="Times New Roman" w:hint="eastAsia"/>
        </w:rPr>
        <w:t>d</w:t>
      </w:r>
      <w:r>
        <w:rPr>
          <w:rStyle w:val="text1"/>
          <w:rFonts w:ascii="Times New Roman" w:hAnsi="Times New Roman"/>
        </w:rPr>
        <w:t>i</w:t>
      </w:r>
      <w:r>
        <w:rPr>
          <w:rStyle w:val="text1"/>
          <w:rFonts w:ascii="Times New Roman" w:hAnsi="Times New Roman" w:hint="eastAsia"/>
        </w:rPr>
        <w:t>namičnejšo rast</w:t>
      </w:r>
      <w:r>
        <w:rPr>
          <w:rStyle w:val="text1"/>
          <w:rFonts w:ascii="Times New Roman" w:hAnsi="Times New Roman"/>
        </w:rPr>
        <w:t xml:space="preserve"> med sedmimi najbolj razvitimi državami sveta. To so dosegli z globokimi </w:t>
      </w:r>
      <w:r>
        <w:rPr>
          <w:rStyle w:val="text1"/>
          <w:rFonts w:ascii="Times New Roman" w:hAnsi="Times New Roman" w:hint="eastAsia"/>
        </w:rPr>
        <w:t>strukturnimi spremembami. Izvoz so uspeli povečati iz 12% na 20%, izpeljali so</w:t>
      </w:r>
      <w:r>
        <w:rPr>
          <w:rStyle w:val="text1"/>
          <w:rFonts w:ascii="Times New Roman" w:hAnsi="Times New Roman"/>
        </w:rPr>
        <w:t xml:space="preserve"> </w:t>
      </w:r>
      <w:r>
        <w:rPr>
          <w:rStyle w:val="text1"/>
          <w:rFonts w:ascii="Times New Roman" w:hAnsi="Times New Roman" w:hint="eastAsia"/>
        </w:rPr>
        <w:t>veliko privatizacij, ter v deve</w:t>
      </w:r>
      <w:r>
        <w:rPr>
          <w:rStyle w:val="text1"/>
          <w:rFonts w:ascii="Times New Roman" w:hAnsi="Times New Roman"/>
        </w:rPr>
        <w:t>t</w:t>
      </w:r>
      <w:r>
        <w:rPr>
          <w:rStyle w:val="text1"/>
          <w:rFonts w:ascii="Times New Roman" w:hAnsi="Times New Roman" w:hint="eastAsia"/>
        </w:rPr>
        <w:t>desetih začeli z močno decentralizacijo</w:t>
      </w:r>
      <w:r>
        <w:rPr>
          <w:rStyle w:val="text1"/>
          <w:rFonts w:ascii="Times New Roman" w:hAnsi="Times New Roman"/>
        </w:rPr>
        <w:t xml:space="preserve"> kmetijstva, industrije, politike, turizma, zdravstvenega zavarovanja,.... Veliko </w:t>
      </w:r>
      <w:r>
        <w:rPr>
          <w:rStyle w:val="text1"/>
          <w:rFonts w:ascii="Times New Roman" w:hAnsi="Times New Roman" w:hint="eastAsia"/>
        </w:rPr>
        <w:t>teh sprememb je bilo tudi posledica resnejšemu vključevanju v evropsko skupnost.</w:t>
      </w:r>
      <w:r>
        <w:rPr>
          <w:rStyle w:val="text1"/>
          <w:rFonts w:ascii="Times New Roman" w:hAnsi="Times New Roman"/>
        </w:rPr>
        <w:t xml:space="preserve"> Za gospodarstvo zelo pomembna sprememba je tudi boj države, zoper organiziran kriminal (mafijo), katere poslovanje je po nekaterih ocenah leta 1994 doseglo že 10% nacionalnega proizvoda.</w:t>
      </w:r>
    </w:p>
    <w:p w:rsidR="00FE5002" w:rsidRDefault="009C36EF">
      <w:pPr>
        <w:textAlignment w:val="top"/>
      </w:pPr>
      <w:r>
        <w:rPr>
          <w:rStyle w:val="text1"/>
          <w:rFonts w:ascii="Times New Roman" w:hAnsi="Times New Roman"/>
        </w:rPr>
        <w:t xml:space="preserve"> </w:t>
      </w:r>
    </w:p>
    <w:p w:rsidR="00FE5002" w:rsidRDefault="009C36EF">
      <w:pPr>
        <w:pStyle w:val="NormalWeb"/>
        <w:numPr>
          <w:ilvl w:val="0"/>
          <w:numId w:val="1"/>
        </w:numPr>
        <w:spacing w:before="0" w:beforeAutospacing="0" w:after="0" w:afterAutospacing="0"/>
        <w:textAlignment w:val="top"/>
        <w:rPr>
          <w:color w:val="000000"/>
        </w:rPr>
      </w:pPr>
      <w:r>
        <w:rPr>
          <w:rFonts w:hint="eastAsia"/>
          <w:color w:val="000000"/>
        </w:rPr>
        <w:t>Četrtino od skupnega nacionalnega proizvoda pridobi Italija z</w:t>
      </w:r>
      <w:r>
        <w:rPr>
          <w:color w:val="000000"/>
        </w:rPr>
        <w:t xml:space="preserve"> poljedelstvom (pšenica, vinska trta, sladkorni trs, oljke, riž, tobak so glavni proizvodi) ribištvom in prehrambeno industrijo. Kljub temu je Italija</w:t>
      </w:r>
      <w:r>
        <w:rPr>
          <w:rFonts w:hint="eastAsia"/>
          <w:color w:val="000000"/>
        </w:rPr>
        <w:t xml:space="preserve"> velik uvoznik hrane. Osnovna značilnost kmetijstva (glede</w:t>
      </w:r>
      <w:r>
        <w:rPr>
          <w:color w:val="000000"/>
        </w:rPr>
        <w:t xml:space="preserve"> </w:t>
      </w:r>
      <w:r>
        <w:rPr>
          <w:color w:val="000000"/>
        </w:rPr>
        <w:lastRenderedPageBreak/>
        <w:t xml:space="preserve">razporeditve) je njegova razširjenost po vsej Italiji. Na takšno razporeditev vplivajo zahteve posameznih kultur, ki jih gojijo (kvaliteta zemlje, podnebne </w:t>
      </w:r>
      <w:r>
        <w:rPr>
          <w:rFonts w:hint="eastAsia"/>
          <w:color w:val="000000"/>
        </w:rPr>
        <w:t xml:space="preserve">razmere,...) kot tudi tržišče. </w:t>
      </w:r>
      <w:r>
        <w:rPr>
          <w:color w:val="000000"/>
        </w:rPr>
        <w:t xml:space="preserve">Za kmetijstvo je tako najpomembnejša </w:t>
      </w:r>
      <w:r>
        <w:rPr>
          <w:b/>
          <w:bCs/>
          <w:color w:val="000000"/>
        </w:rPr>
        <w:t>Padska nižina</w:t>
      </w:r>
      <w:r>
        <w:rPr>
          <w:color w:val="000000"/>
        </w:rPr>
        <w:t xml:space="preserve"> s pridelavo koruze, sladkorne pese in riža (Italija ga pridela največ v Evropi). Druga območja so zaradi slabših prsti manj primerna za poljedelstvo, vendar so z intenzivno obdelavo, melioracijami (namakanjem), gnojenjem in drugimi ukrepi dosegla dokaj visoko pridelavo, na jugu so to predvsem južno sadje, pridelava zelenjave in tudi pšenice, v pridelavi vina pa je Italija prva na svetu. </w:t>
      </w:r>
    </w:p>
    <w:p w:rsidR="00FE5002" w:rsidRDefault="009C36EF">
      <w:pPr>
        <w:pStyle w:val="NormalWeb"/>
        <w:numPr>
          <w:ilvl w:val="0"/>
          <w:numId w:val="1"/>
        </w:numPr>
        <w:spacing w:before="0" w:beforeAutospacing="0" w:after="0" w:afterAutospacing="0"/>
        <w:textAlignment w:val="top"/>
        <w:rPr>
          <w:color w:val="000000"/>
        </w:rPr>
      </w:pPr>
      <w:r>
        <w:rPr>
          <w:rFonts w:hint="eastAsia"/>
          <w:color w:val="000000"/>
        </w:rPr>
        <w:t xml:space="preserve">Večina industrijskih obratov je </w:t>
      </w:r>
      <w:r>
        <w:rPr>
          <w:color w:val="000000"/>
        </w:rPr>
        <w:t>skoncentriranih na severu države</w:t>
      </w:r>
      <w:r>
        <w:rPr>
          <w:rFonts w:hint="eastAsia"/>
          <w:color w:val="000000"/>
        </w:rPr>
        <w:t xml:space="preserve"> v somestju</w:t>
      </w:r>
      <w:r>
        <w:rPr>
          <w:color w:val="000000"/>
        </w:rPr>
        <w:t xml:space="preserve"> </w:t>
      </w:r>
      <w:r>
        <w:rPr>
          <w:b/>
          <w:bCs/>
          <w:color w:val="000000"/>
        </w:rPr>
        <w:t>Milano-Torino</w:t>
      </w:r>
      <w:r>
        <w:rPr>
          <w:color w:val="000000"/>
        </w:rPr>
        <w:t xml:space="preserve">, obrati tekstilne in živilske industrije so razširjeni po celi Italiji, središča kemične industrije pa so poleg Milana še Trst, Benetke, Bari, in Neapelj.  </w:t>
      </w:r>
      <w:r>
        <w:rPr>
          <w:rFonts w:hint="eastAsia"/>
          <w:color w:val="000000"/>
        </w:rPr>
        <w:t xml:space="preserve"> </w:t>
      </w:r>
      <w:r>
        <w:rPr>
          <w:color w:val="000000"/>
        </w:rPr>
        <w:t xml:space="preserve"> Najmočnejše industrijske panoge so kovinska (ladjedelništvo), avtomobilska, elektrotehnična industrija, industrija gospodinjskih aparatov, precizne mehanike, itd. </w:t>
      </w:r>
    </w:p>
    <w:p w:rsidR="00FE5002" w:rsidRDefault="009C36EF">
      <w:pPr>
        <w:pStyle w:val="NormalWeb"/>
        <w:numPr>
          <w:ilvl w:val="0"/>
          <w:numId w:val="1"/>
        </w:numPr>
        <w:spacing w:before="0" w:beforeAutospacing="0" w:after="0" w:afterAutospacing="0"/>
        <w:textAlignment w:val="top"/>
        <w:rPr>
          <w:bCs/>
          <w:color w:val="000000"/>
        </w:rPr>
      </w:pPr>
      <w:r>
        <w:rPr>
          <w:color w:val="000000"/>
        </w:rPr>
        <w:t xml:space="preserve">V </w:t>
      </w:r>
      <w:r>
        <w:rPr>
          <w:b/>
          <w:bCs/>
          <w:color w:val="000000"/>
        </w:rPr>
        <w:t>Piemontu</w:t>
      </w:r>
      <w:r>
        <w:rPr>
          <w:color w:val="000000"/>
        </w:rPr>
        <w:t xml:space="preserve"> in </w:t>
      </w:r>
      <w:r>
        <w:rPr>
          <w:b/>
          <w:color w:val="000000"/>
        </w:rPr>
        <w:t>Lombardiji</w:t>
      </w:r>
      <w:r>
        <w:rPr>
          <w:bCs/>
          <w:color w:val="000000"/>
        </w:rPr>
        <w:t xml:space="preserve"> se je izoblikoval industrijski trikotnik Torino-Genova-Brescia s središčem v Milanu, na katerega so se naslonile finančne, poslovne in druge terciarne dejavnosti.</w:t>
      </w:r>
    </w:p>
    <w:p w:rsidR="00FE5002" w:rsidRDefault="009C36EF">
      <w:pPr>
        <w:pStyle w:val="NormalWeb"/>
        <w:numPr>
          <w:ilvl w:val="0"/>
          <w:numId w:val="1"/>
        </w:numPr>
        <w:spacing w:before="0" w:beforeAutospacing="0" w:after="0" w:afterAutospacing="0"/>
        <w:textAlignment w:val="top"/>
        <w:rPr>
          <w:bCs/>
          <w:color w:val="000000"/>
        </w:rPr>
      </w:pPr>
      <w:r>
        <w:rPr>
          <w:bCs/>
          <w:color w:val="000000"/>
        </w:rPr>
        <w:t xml:space="preserve">Tako je Italija razdeljena na razviti sever, manj razviti kmetijski jug, imenovan tudi </w:t>
      </w:r>
      <w:r>
        <w:rPr>
          <w:b/>
          <w:color w:val="000000"/>
        </w:rPr>
        <w:t>Mezzogiorno</w:t>
      </w:r>
      <w:r>
        <w:rPr>
          <w:bCs/>
          <w:color w:val="000000"/>
        </w:rPr>
        <w:t>.</w:t>
      </w:r>
    </w:p>
    <w:p w:rsidR="00FE5002" w:rsidRDefault="009C36EF">
      <w:pPr>
        <w:pStyle w:val="NormalWeb"/>
        <w:numPr>
          <w:ilvl w:val="0"/>
          <w:numId w:val="1"/>
        </w:numPr>
        <w:spacing w:before="0" w:beforeAutospacing="0" w:after="0" w:afterAutospacing="0"/>
        <w:textAlignment w:val="top"/>
        <w:rPr>
          <w:color w:val="000000"/>
        </w:rPr>
      </w:pPr>
      <w:r>
        <w:rPr>
          <w:rFonts w:hint="eastAsia"/>
          <w:color w:val="000000"/>
        </w:rPr>
        <w:t>Najpomembnejši gospodarski partnerji Italije so ZDA, Nemčija in Francija,</w:t>
      </w:r>
      <w:r>
        <w:rPr>
          <w:color w:val="000000"/>
        </w:rPr>
        <w:t xml:space="preserve"> sledijo še ostale Evropske države. </w:t>
      </w:r>
    </w:p>
    <w:p w:rsidR="00FE5002" w:rsidRDefault="009C36EF">
      <w:pPr>
        <w:pStyle w:val="NormalWeb"/>
        <w:numPr>
          <w:ilvl w:val="0"/>
          <w:numId w:val="1"/>
        </w:numPr>
        <w:spacing w:before="0" w:beforeAutospacing="0" w:after="0" w:afterAutospacing="0"/>
        <w:textAlignment w:val="top"/>
        <w:rPr>
          <w:color w:val="000000"/>
        </w:rPr>
      </w:pPr>
      <w:r>
        <w:rPr>
          <w:color w:val="000000"/>
        </w:rPr>
        <w:t xml:space="preserve">Za Italijansko gospodarstvo je zelo pomemben tudi turizem, ki državi </w:t>
      </w:r>
      <w:r>
        <w:rPr>
          <w:rFonts w:hint="eastAsia"/>
          <w:color w:val="000000"/>
        </w:rPr>
        <w:t>prinaša približno 20% BDP. Največ turistov obišče Rim, Firence, Rimini, Padovo,</w:t>
      </w:r>
      <w:r>
        <w:rPr>
          <w:color w:val="000000"/>
        </w:rPr>
        <w:t xml:space="preserve"> Neapelj in Alpe. </w:t>
      </w:r>
    </w:p>
    <w:p w:rsidR="00FE5002" w:rsidRDefault="009C36EF">
      <w:pPr>
        <w:pStyle w:val="NormalWeb"/>
        <w:numPr>
          <w:ilvl w:val="0"/>
          <w:numId w:val="1"/>
        </w:numPr>
        <w:spacing w:before="0" w:beforeAutospacing="0" w:after="0" w:afterAutospacing="0"/>
        <w:textAlignment w:val="top"/>
        <w:rPr>
          <w:color w:val="000000"/>
        </w:rPr>
      </w:pPr>
      <w:r>
        <w:rPr>
          <w:rFonts w:hint="eastAsia"/>
          <w:color w:val="000000"/>
        </w:rPr>
        <w:t>Pred sprejemom skupne evropske valute ECU</w:t>
      </w:r>
      <w:r>
        <w:rPr>
          <w:color w:val="000000"/>
        </w:rPr>
        <w:t>-</w:t>
      </w:r>
      <w:r>
        <w:rPr>
          <w:rFonts w:hint="eastAsia"/>
          <w:color w:val="000000"/>
        </w:rPr>
        <w:t>ja je imela Italija večkrat</w:t>
      </w:r>
      <w:r>
        <w:rPr>
          <w:color w:val="000000"/>
        </w:rPr>
        <w:t xml:space="preserve"> probleme z inflacijo in nestabilnostjo lire. Italijani so zato nov monetarni </w:t>
      </w:r>
      <w:r>
        <w:rPr>
          <w:rFonts w:hint="eastAsia"/>
          <w:color w:val="000000"/>
        </w:rPr>
        <w:t>sistem sprejeli z veseljem in velikimi pričakovanji. V tem trenutku so bila</w:t>
      </w:r>
      <w:r>
        <w:rPr>
          <w:color w:val="000000"/>
        </w:rPr>
        <w:t xml:space="preserve"> </w:t>
      </w:r>
      <w:r>
        <w:rPr>
          <w:rFonts w:hint="eastAsia"/>
          <w:color w:val="000000"/>
        </w:rPr>
        <w:t>pričakovanja uresničena, največja problema za gospodarstvo pa ostajata</w:t>
      </w:r>
      <w:r>
        <w:rPr>
          <w:color w:val="000000"/>
        </w:rPr>
        <w:t xml:space="preserve"> </w:t>
      </w:r>
      <w:r>
        <w:rPr>
          <w:rFonts w:hint="eastAsia"/>
          <w:color w:val="000000"/>
        </w:rPr>
        <w:t>proračunski primanjkljaj (150 milijard USD letno), ter trgovinski deficit (5%).</w:t>
      </w:r>
      <w:r>
        <w:rPr>
          <w:color w:val="000000"/>
        </w:rPr>
        <w:t xml:space="preserve"> </w:t>
      </w:r>
      <w:r>
        <w:rPr>
          <w:rFonts w:hint="eastAsia"/>
          <w:color w:val="000000"/>
        </w:rPr>
        <w:t>V prihodnosti bodo tako največ pozornosti namenili prav tema problemoma.</w:t>
      </w:r>
      <w:r>
        <w:rPr>
          <w:color w:val="000000"/>
        </w:rPr>
        <w:t xml:space="preserve"> </w:t>
      </w:r>
    </w:p>
    <w:p w:rsidR="00FE5002" w:rsidRDefault="009C36EF">
      <w:pPr>
        <w:pStyle w:val="NormalWeb"/>
        <w:rPr>
          <w:b/>
          <w:bCs/>
          <w:color w:val="000000"/>
        </w:rPr>
      </w:pPr>
      <w:r>
        <w:rPr>
          <w:b/>
          <w:bCs/>
          <w:color w:val="000000"/>
          <w:u w:val="single"/>
        </w:rPr>
        <w:t>Industrija</w:t>
      </w:r>
      <w:r>
        <w:rPr>
          <w:b/>
          <w:bCs/>
          <w:color w:val="000000"/>
        </w:rPr>
        <w:t>:</w:t>
      </w:r>
    </w:p>
    <w:p w:rsidR="00FE5002" w:rsidRDefault="009C36EF">
      <w:pPr>
        <w:pStyle w:val="NormalWeb"/>
        <w:rPr>
          <w:color w:val="000000"/>
        </w:rPr>
      </w:pPr>
      <w:r>
        <w:rPr>
          <w:color w:val="000000"/>
        </w:rPr>
        <w:t>Industrijski razvoj Italije je bil vezan na hitro rast proivodnje hidroenergije. Najmočnejše industrijske panoge so kovinska industrija, zlasti ladjedelništvo, avtomobilska industrija (Fiat se uvršča med 15 največjih podjetij na svetu), elektrotehnična, industrija gospodinjskih aparatov, precizne mehanike itd. Industrija je osredotočena na severu Italije v somestju Milano-Torino. Po vsej Italiji so številni obrati tekstilne in živilske industrije.</w:t>
      </w:r>
    </w:p>
    <w:p w:rsidR="00FE5002" w:rsidRDefault="009C36EF">
      <w:pPr>
        <w:pStyle w:val="NormalWeb"/>
        <w:rPr>
          <w:b/>
          <w:bCs/>
          <w:color w:val="000000"/>
        </w:rPr>
      </w:pPr>
      <w:r>
        <w:rPr>
          <w:b/>
          <w:bCs/>
          <w:color w:val="000000"/>
          <w:u w:val="single"/>
        </w:rPr>
        <w:t>Prebivalstvo</w:t>
      </w:r>
      <w:r>
        <w:rPr>
          <w:b/>
          <w:bCs/>
          <w:color w:val="000000"/>
        </w:rPr>
        <w:t>:</w:t>
      </w:r>
    </w:p>
    <w:p w:rsidR="00FE5002" w:rsidRDefault="009C36EF">
      <w:pPr>
        <w:pStyle w:val="NormalWeb"/>
        <w:rPr>
          <w:color w:val="000000"/>
        </w:rPr>
      </w:pPr>
      <w:r>
        <w:rPr>
          <w:color w:val="000000"/>
        </w:rPr>
        <w:t>Prebivalstvo je v večini italijansko. Številčnejše narodnostne skupine so Slovenci na skrajnem severovzhodu in nemško govoreči prebivalci Južne Tirolske v Zgornjem Poadižju, francosko govoreče prebivalstvo v dolini Aoste, Sardinci na Sardiniji in v Kalabriji Albanci. Italija spada med gosto, toda zaradi naravnih in gospodarskih razlik, silno različno poseljene države.</w:t>
      </w:r>
    </w:p>
    <w:p w:rsidR="00FE5002" w:rsidRDefault="009C36EF">
      <w:pPr>
        <w:pStyle w:val="NormalWeb"/>
        <w:spacing w:before="0" w:beforeAutospacing="0" w:after="0" w:afterAutospacing="0"/>
        <w:textAlignment w:val="top"/>
        <w:rPr>
          <w:b/>
          <w:bCs/>
          <w:color w:val="000000"/>
          <w:u w:val="single"/>
        </w:rPr>
      </w:pPr>
      <w:r>
        <w:rPr>
          <w:b/>
          <w:bCs/>
          <w:color w:val="000000"/>
          <w:u w:val="single"/>
        </w:rPr>
        <w:t>Migracije:</w:t>
      </w:r>
    </w:p>
    <w:p w:rsidR="00FE5002" w:rsidRDefault="00FE5002">
      <w:pPr>
        <w:pStyle w:val="NormalWeb"/>
        <w:spacing w:before="0" w:beforeAutospacing="0" w:after="0" w:afterAutospacing="0"/>
        <w:textAlignment w:val="top"/>
        <w:rPr>
          <w:color w:val="000000"/>
        </w:rPr>
      </w:pPr>
    </w:p>
    <w:p w:rsidR="00FE5002" w:rsidRDefault="009C36EF">
      <w:pPr>
        <w:pStyle w:val="NormalWeb"/>
        <w:spacing w:before="0" w:beforeAutospacing="0" w:after="0" w:afterAutospacing="0"/>
        <w:textAlignment w:val="top"/>
        <w:rPr>
          <w:color w:val="000000"/>
        </w:rPr>
      </w:pPr>
      <w:r>
        <w:rPr>
          <w:rFonts w:hint="eastAsia"/>
          <w:color w:val="000000"/>
        </w:rPr>
        <w:t>Južne regije dobijo približno polovico več sredstev iz</w:t>
      </w:r>
      <w:r>
        <w:rPr>
          <w:color w:val="000000"/>
        </w:rPr>
        <w:t xml:space="preserve"> </w:t>
      </w:r>
      <w:r>
        <w:rPr>
          <w:rFonts w:hint="eastAsia"/>
          <w:color w:val="000000"/>
        </w:rPr>
        <w:t>državnega proračuna, kot severne. V regiji Tirent je le 5% brezposelnih (tako</w:t>
      </w:r>
      <w:r>
        <w:rPr>
          <w:color w:val="000000"/>
        </w:rPr>
        <w:t xml:space="preserve"> </w:t>
      </w:r>
      <w:r>
        <w:rPr>
          <w:rFonts w:hint="eastAsia"/>
          <w:color w:val="000000"/>
        </w:rPr>
        <w:t>nizkega odstotka ne doseže nobena regija v Nemčiji), medtem, ko je v Kalabriji</w:t>
      </w:r>
      <w:r>
        <w:rPr>
          <w:color w:val="000000"/>
        </w:rPr>
        <w:t xml:space="preserve"> brezposelnih kar 25% prebivalcev. </w:t>
      </w:r>
      <w:r>
        <w:rPr>
          <w:rFonts w:hint="eastAsia"/>
          <w:color w:val="000000"/>
        </w:rPr>
        <w:t>Če podrobneje pogleda</w:t>
      </w:r>
      <w:r>
        <w:rPr>
          <w:color w:val="000000"/>
        </w:rPr>
        <w:t xml:space="preserve">mo </w:t>
      </w:r>
      <w:r>
        <w:rPr>
          <w:rFonts w:hint="eastAsia"/>
          <w:color w:val="000000"/>
        </w:rPr>
        <w:t>starostn</w:t>
      </w:r>
      <w:r>
        <w:rPr>
          <w:color w:val="000000"/>
        </w:rPr>
        <w:t>o</w:t>
      </w:r>
      <w:r>
        <w:rPr>
          <w:rFonts w:hint="eastAsia"/>
          <w:color w:val="000000"/>
        </w:rPr>
        <w:t xml:space="preserve"> struktur</w:t>
      </w:r>
      <w:r>
        <w:rPr>
          <w:color w:val="000000"/>
        </w:rPr>
        <w:t>o</w:t>
      </w:r>
      <w:r>
        <w:rPr>
          <w:rFonts w:hint="eastAsia"/>
          <w:color w:val="000000"/>
        </w:rPr>
        <w:t xml:space="preserve"> teh, bi ugotovili, da gre večinoma za</w:t>
      </w:r>
      <w:r>
        <w:rPr>
          <w:color w:val="000000"/>
        </w:rPr>
        <w:t xml:space="preserve"> </w:t>
      </w:r>
      <w:r>
        <w:rPr>
          <w:rFonts w:hint="eastAsia"/>
          <w:color w:val="000000"/>
        </w:rPr>
        <w:t>mlado prebivalstvo, ki je mobilno in si zato lahko poišče zaposlitev izven svoje</w:t>
      </w:r>
      <w:r>
        <w:rPr>
          <w:color w:val="000000"/>
        </w:rPr>
        <w:t xml:space="preserve"> regije. V sedemdesetih letih je bila kar polovica zaposlenih v Fiatovih tovarnah rojenih na jugu države. Ker se selijo iz </w:t>
      </w:r>
      <w:r>
        <w:rPr>
          <w:rFonts w:hint="eastAsia"/>
          <w:color w:val="000000"/>
        </w:rPr>
        <w:t xml:space="preserve">"agrarnih predelov" </w:t>
      </w:r>
      <w:r>
        <w:rPr>
          <w:rFonts w:hint="eastAsia"/>
          <w:color w:val="000000"/>
        </w:rPr>
        <w:lastRenderedPageBreak/>
        <w:t>juga Italije večinoma mladi ljudje in si na severu</w:t>
      </w:r>
      <w:r>
        <w:rPr>
          <w:color w:val="000000"/>
        </w:rPr>
        <w:t xml:space="preserve"> </w:t>
      </w:r>
      <w:r>
        <w:rPr>
          <w:rFonts w:hint="eastAsia"/>
          <w:color w:val="000000"/>
        </w:rPr>
        <w:t>ustvarjajo družine (prilagojene načinu življenja), prihaja tudi do velikih</w:t>
      </w:r>
      <w:r>
        <w:rPr>
          <w:color w:val="000000"/>
        </w:rPr>
        <w:t xml:space="preserve"> demografskih razlik med regijami. V južni Italiji je naravni prirastek še visok, </w:t>
      </w:r>
      <w:r>
        <w:rPr>
          <w:rFonts w:hint="eastAsia"/>
          <w:color w:val="000000"/>
        </w:rPr>
        <w:t>zato so družine številčnejše, medtem ko je na severu Italije ta nižji (povprečne</w:t>
      </w:r>
      <w:r>
        <w:rPr>
          <w:color w:val="000000"/>
        </w:rPr>
        <w:t xml:space="preserve"> </w:t>
      </w:r>
      <w:r>
        <w:rPr>
          <w:rFonts w:hint="eastAsia"/>
          <w:color w:val="000000"/>
        </w:rPr>
        <w:t>družine imajo le enega ali dva otroka). Razlike opazimo tudi na političnem</w:t>
      </w:r>
      <w:r>
        <w:rPr>
          <w:color w:val="000000"/>
        </w:rPr>
        <w:t xml:space="preserve"> </w:t>
      </w:r>
      <w:r>
        <w:rPr>
          <w:rFonts w:hint="eastAsia"/>
          <w:color w:val="000000"/>
        </w:rPr>
        <w:t>(Severna Liga) in kulturnem nivoju (veliko avtorjev govori namreč že o Afriškem</w:t>
      </w:r>
      <w:r>
        <w:rPr>
          <w:color w:val="000000"/>
        </w:rPr>
        <w:t xml:space="preserve"> jugu Italije). </w:t>
      </w:r>
    </w:p>
    <w:p w:rsidR="00FE5002" w:rsidRDefault="009C36EF">
      <w:pPr>
        <w:pStyle w:val="NormalWeb"/>
        <w:spacing w:before="0" w:beforeAutospacing="0" w:after="0" w:afterAutospacing="0"/>
        <w:textAlignment w:val="top"/>
        <w:rPr>
          <w:color w:val="000000"/>
        </w:rPr>
      </w:pPr>
      <w:r>
        <w:rPr>
          <w:color w:val="000000"/>
        </w:rPr>
        <w:t xml:space="preserve">Kadar govorimo o migracijah Italijanov, se moramo tudi spomniti, da je bila </w:t>
      </w:r>
      <w:r>
        <w:rPr>
          <w:rFonts w:hint="eastAsia"/>
          <w:color w:val="000000"/>
        </w:rPr>
        <w:t>ta država še v začetku stoletja emigracijska dežela (skupaj približno 20</w:t>
      </w:r>
      <w:r>
        <w:rPr>
          <w:color w:val="000000"/>
        </w:rPr>
        <w:t xml:space="preserve"> milijonov ljudi se je razselilo po svetu; predvsem v ZDA) in da potekajo številne migracije znotraj države iz manj razvitih južnih predelov v razvitejši </w:t>
      </w:r>
      <w:r>
        <w:rPr>
          <w:rFonts w:hint="eastAsia"/>
          <w:color w:val="000000"/>
        </w:rPr>
        <w:t xml:space="preserve">severni del. </w:t>
      </w:r>
    </w:p>
    <w:p w:rsidR="00FE5002" w:rsidRDefault="00FE5002">
      <w:pPr>
        <w:pStyle w:val="NormalWeb"/>
        <w:spacing w:before="0" w:beforeAutospacing="0" w:after="0" w:afterAutospacing="0"/>
        <w:textAlignment w:val="top"/>
        <w:rPr>
          <w:color w:val="000000"/>
        </w:rPr>
      </w:pPr>
    </w:p>
    <w:p w:rsidR="00FE5002" w:rsidRDefault="00FE5002">
      <w:pPr>
        <w:pStyle w:val="NormalWeb"/>
        <w:spacing w:before="0" w:beforeAutospacing="0" w:after="0" w:afterAutospacing="0"/>
        <w:textAlignment w:val="top"/>
        <w:rPr>
          <w:color w:val="000000"/>
        </w:rPr>
      </w:pPr>
    </w:p>
    <w:p w:rsidR="00FE5002" w:rsidRDefault="00FE5002">
      <w:pPr>
        <w:rPr>
          <w:rFonts w:ascii="Times New Roman" w:hAnsi="Times New Roman"/>
          <w:sz w:val="24"/>
        </w:rPr>
      </w:pPr>
    </w:p>
    <w:p w:rsidR="00FE5002" w:rsidRDefault="00FE5002">
      <w:pPr>
        <w:rPr>
          <w:rFonts w:ascii="Times New Roman" w:hAnsi="Times New Roman"/>
          <w:color w:val="000000"/>
          <w:sz w:val="24"/>
        </w:rPr>
      </w:pPr>
    </w:p>
    <w:p w:rsidR="00FE5002" w:rsidRDefault="00FE5002">
      <w:pPr>
        <w:rPr>
          <w:sz w:val="24"/>
        </w:rPr>
      </w:pPr>
    </w:p>
    <w:sectPr w:rsidR="00FE5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F41EC"/>
    <w:multiLevelType w:val="hybridMultilevel"/>
    <w:tmpl w:val="93A4794E"/>
    <w:lvl w:ilvl="0" w:tplc="4080EBBE">
      <w:start w:val="1"/>
      <w:numFmt w:val="bullet"/>
      <w:lvlText w:val=""/>
      <w:lvlJc w:val="left"/>
      <w:pPr>
        <w:tabs>
          <w:tab w:val="num" w:pos="420"/>
        </w:tabs>
        <w:ind w:left="113" w:hanging="53"/>
      </w:pPr>
      <w:rPr>
        <w:rFonts w:ascii="Symbol" w:hAnsi="Symbol" w:hint="default"/>
        <w:sz w:val="28"/>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36EF"/>
    <w:rsid w:val="009C36EF"/>
    <w:rsid w:val="00C91490"/>
    <w:rsid w:val="00FE50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Cs w:val="24"/>
    </w:rPr>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1260"/>
      </w:tabs>
    </w:pPr>
    <w:rPr>
      <w:sz w:val="24"/>
    </w:rPr>
  </w:style>
  <w:style w:type="paragraph" w:styleId="Title">
    <w:name w:val="Title"/>
    <w:basedOn w:val="Normal"/>
    <w:qFormat/>
    <w:pPr>
      <w:jc w:val="center"/>
    </w:pPr>
    <w:rPr>
      <w:b/>
      <w:bCs/>
      <w:sz w:val="24"/>
    </w:rPr>
  </w:style>
  <w:style w:type="paragraph" w:styleId="NormalWeb">
    <w:name w:val="Normal (Web)"/>
    <w:basedOn w:val="Normal"/>
    <w:semiHidden/>
    <w:pPr>
      <w:spacing w:before="100" w:beforeAutospacing="1" w:after="100" w:afterAutospacing="1"/>
    </w:pPr>
    <w:rPr>
      <w:rFonts w:ascii="Times New Roman" w:hAnsi="Times New Roman"/>
      <w:color w:val="FFFFFF"/>
      <w:sz w:val="24"/>
    </w:rPr>
  </w:style>
  <w:style w:type="character" w:customStyle="1" w:styleId="text1">
    <w:name w:val="text1"/>
    <w:basedOn w:val="DefaultParagraphFont"/>
    <w:rPr>
      <w:rFonts w:ascii="Helvetica" w:hAnsi="Helvetica"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8315</Characters>
  <Application>Microsoft Office Word</Application>
  <DocSecurity>0</DocSecurity>
  <Lines>69</Lines>
  <Paragraphs>19</Paragraphs>
  <ScaleCrop>false</ScaleCrop>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