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4E0" w:rsidRPr="00344C26" w:rsidRDefault="006D34E0" w:rsidP="006D34E0">
      <w:pPr>
        <w:pStyle w:val="TOC1"/>
        <w:jc w:val="center"/>
        <w:rPr>
          <w:sz w:val="28"/>
        </w:rPr>
      </w:pPr>
      <w:bookmarkStart w:id="0" w:name="_GoBack"/>
      <w:bookmarkEnd w:id="0"/>
      <w:r w:rsidRPr="00344C26">
        <w:rPr>
          <w:sz w:val="28"/>
        </w:rPr>
        <w:t>MOZIRSKI GAJ</w:t>
      </w:r>
    </w:p>
    <w:p w:rsidR="00344C26" w:rsidRPr="00344C26" w:rsidRDefault="00344C26" w:rsidP="00344C26"/>
    <w:p w:rsidR="006D34E0" w:rsidRDefault="006D34E0" w:rsidP="00397BE9">
      <w:pPr>
        <w:pStyle w:val="TOC1"/>
      </w:pPr>
    </w:p>
    <w:p w:rsidR="006D34E0" w:rsidRDefault="006D34E0" w:rsidP="00397BE9">
      <w:pPr>
        <w:pStyle w:val="TOC1"/>
      </w:pPr>
    </w:p>
    <w:p w:rsidR="006A2C1C" w:rsidRPr="00397BE9" w:rsidRDefault="006A2C1C" w:rsidP="00397BE9">
      <w:pPr>
        <w:pStyle w:val="TOC1"/>
      </w:pPr>
      <w:r w:rsidRPr="00397BE9">
        <w:t>KAZALO VSEBINE</w:t>
      </w:r>
    </w:p>
    <w:p w:rsidR="006A2C1C" w:rsidRDefault="006A2C1C" w:rsidP="00397BE9">
      <w:pPr>
        <w:pStyle w:val="TOC1"/>
      </w:pPr>
    </w:p>
    <w:p w:rsidR="00B34F72" w:rsidRDefault="00B34F72" w:rsidP="00397BE9">
      <w:pPr>
        <w:pStyle w:val="TOC1"/>
        <w:rPr>
          <w:noProof/>
        </w:rPr>
      </w:pPr>
      <w:r>
        <w:fldChar w:fldCharType="begin"/>
      </w:r>
      <w:r>
        <w:instrText xml:space="preserve"> TOC \o "1-3" \h \z \u </w:instrText>
      </w:r>
      <w:r>
        <w:fldChar w:fldCharType="separate"/>
      </w:r>
      <w:hyperlink w:anchor="_Toc187546153" w:history="1">
        <w:r w:rsidR="00716852">
          <w:rPr>
            <w:rStyle w:val="Hyperlink"/>
            <w:noProof/>
          </w:rPr>
          <w:t>1</w:t>
        </w:r>
        <w:r w:rsidRPr="00303176">
          <w:rPr>
            <w:rStyle w:val="Hyperlink"/>
            <w:noProof/>
          </w:rPr>
          <w:t>. UVOD</w:t>
        </w:r>
        <w:r>
          <w:rPr>
            <w:noProof/>
            <w:webHidden/>
          </w:rPr>
          <w:tab/>
        </w:r>
        <w:r w:rsidR="00716852">
          <w:rPr>
            <w:noProof/>
            <w:webHidden/>
          </w:rPr>
          <w:t>2</w:t>
        </w:r>
      </w:hyperlink>
    </w:p>
    <w:p w:rsidR="00B34F72" w:rsidRDefault="00943605" w:rsidP="00397BE9">
      <w:pPr>
        <w:pStyle w:val="TOC1"/>
        <w:rPr>
          <w:noProof/>
        </w:rPr>
      </w:pPr>
      <w:hyperlink w:anchor="_Toc187546154" w:history="1">
        <w:r w:rsidR="006116BA">
          <w:rPr>
            <w:rStyle w:val="Hyperlink"/>
            <w:noProof/>
          </w:rPr>
          <w:t>2 .</w:t>
        </w:r>
        <w:r w:rsidR="00B34F72" w:rsidRPr="00303176">
          <w:rPr>
            <w:rStyle w:val="Hyperlink"/>
            <w:noProof/>
          </w:rPr>
          <w:t>RAZŠIRITEV VRTNARSKIH RAZSTAV</w:t>
        </w:r>
        <w:r w:rsidR="00B34F72">
          <w:rPr>
            <w:noProof/>
            <w:webHidden/>
          </w:rPr>
          <w:tab/>
        </w:r>
        <w:r w:rsidR="00B34F72">
          <w:rPr>
            <w:noProof/>
            <w:webHidden/>
          </w:rPr>
          <w:fldChar w:fldCharType="begin"/>
        </w:r>
        <w:r w:rsidR="00B34F72">
          <w:rPr>
            <w:noProof/>
            <w:webHidden/>
          </w:rPr>
          <w:instrText xml:space="preserve"> PAGEREF _Toc187546154 \h </w:instrText>
        </w:r>
        <w:r w:rsidR="00B34F72">
          <w:rPr>
            <w:noProof/>
            <w:webHidden/>
          </w:rPr>
        </w:r>
        <w:r w:rsidR="00B34F72">
          <w:rPr>
            <w:noProof/>
            <w:webHidden/>
          </w:rPr>
          <w:fldChar w:fldCharType="separate"/>
        </w:r>
        <w:r w:rsidR="00B34F72">
          <w:rPr>
            <w:noProof/>
            <w:webHidden/>
          </w:rPr>
          <w:t>2</w:t>
        </w:r>
        <w:r w:rsidR="00B34F72">
          <w:rPr>
            <w:noProof/>
            <w:webHidden/>
          </w:rPr>
          <w:fldChar w:fldCharType="end"/>
        </w:r>
      </w:hyperlink>
    </w:p>
    <w:p w:rsidR="00B34F72" w:rsidRDefault="00943605" w:rsidP="00397BE9">
      <w:pPr>
        <w:pStyle w:val="TOC1"/>
        <w:rPr>
          <w:noProof/>
        </w:rPr>
      </w:pPr>
      <w:hyperlink w:anchor="_Toc187546155" w:history="1">
        <w:r w:rsidR="00B34F72" w:rsidRPr="00303176">
          <w:rPr>
            <w:rStyle w:val="Hyperlink"/>
            <w:noProof/>
          </w:rPr>
          <w:t>3. USTANOVITEV DRUŠTVA VRTNARJEV</w:t>
        </w:r>
        <w:r w:rsidR="00B34F72">
          <w:rPr>
            <w:noProof/>
            <w:webHidden/>
          </w:rPr>
          <w:tab/>
        </w:r>
        <w:r w:rsidR="00B34F72">
          <w:rPr>
            <w:noProof/>
            <w:webHidden/>
          </w:rPr>
          <w:fldChar w:fldCharType="begin"/>
        </w:r>
        <w:r w:rsidR="00B34F72">
          <w:rPr>
            <w:noProof/>
            <w:webHidden/>
          </w:rPr>
          <w:instrText xml:space="preserve"> PAGEREF _Toc187546155 \h </w:instrText>
        </w:r>
        <w:r w:rsidR="00B34F72">
          <w:rPr>
            <w:noProof/>
            <w:webHidden/>
          </w:rPr>
        </w:r>
        <w:r w:rsidR="00B34F72">
          <w:rPr>
            <w:noProof/>
            <w:webHidden/>
          </w:rPr>
          <w:fldChar w:fldCharType="separate"/>
        </w:r>
        <w:r w:rsidR="00B34F72">
          <w:rPr>
            <w:noProof/>
            <w:webHidden/>
          </w:rPr>
          <w:t>2</w:t>
        </w:r>
        <w:r w:rsidR="00B34F72">
          <w:rPr>
            <w:noProof/>
            <w:webHidden/>
          </w:rPr>
          <w:fldChar w:fldCharType="end"/>
        </w:r>
      </w:hyperlink>
    </w:p>
    <w:p w:rsidR="00B34F72" w:rsidRDefault="00943605" w:rsidP="00397BE9">
      <w:pPr>
        <w:pStyle w:val="TOC1"/>
        <w:rPr>
          <w:noProof/>
        </w:rPr>
      </w:pPr>
      <w:hyperlink w:anchor="_Toc187546156" w:history="1">
        <w:r w:rsidR="00B34F72" w:rsidRPr="00303176">
          <w:rPr>
            <w:rStyle w:val="Hyperlink"/>
            <w:noProof/>
          </w:rPr>
          <w:t>4. NASTANEK IN RAZVOJ MOZIRSKEGA GAJA</w:t>
        </w:r>
        <w:r w:rsidR="00B34F72">
          <w:rPr>
            <w:noProof/>
            <w:webHidden/>
          </w:rPr>
          <w:tab/>
        </w:r>
        <w:r w:rsidR="00B34F72">
          <w:rPr>
            <w:noProof/>
            <w:webHidden/>
          </w:rPr>
          <w:fldChar w:fldCharType="begin"/>
        </w:r>
        <w:r w:rsidR="00B34F72">
          <w:rPr>
            <w:noProof/>
            <w:webHidden/>
          </w:rPr>
          <w:instrText xml:space="preserve"> PAGEREF _Toc187546156 \h </w:instrText>
        </w:r>
        <w:r w:rsidR="00B34F72">
          <w:rPr>
            <w:noProof/>
            <w:webHidden/>
          </w:rPr>
        </w:r>
        <w:r w:rsidR="00B34F72">
          <w:rPr>
            <w:noProof/>
            <w:webHidden/>
          </w:rPr>
          <w:fldChar w:fldCharType="separate"/>
        </w:r>
        <w:r w:rsidR="00B34F72">
          <w:rPr>
            <w:noProof/>
            <w:webHidden/>
          </w:rPr>
          <w:t>3</w:t>
        </w:r>
        <w:r w:rsidR="00B34F72">
          <w:rPr>
            <w:noProof/>
            <w:webHidden/>
          </w:rPr>
          <w:fldChar w:fldCharType="end"/>
        </w:r>
      </w:hyperlink>
    </w:p>
    <w:p w:rsidR="00B34F72" w:rsidRDefault="00943605" w:rsidP="00397BE9">
      <w:pPr>
        <w:pStyle w:val="TOC1"/>
        <w:rPr>
          <w:noProof/>
        </w:rPr>
      </w:pPr>
      <w:hyperlink w:anchor="_Toc187546157" w:history="1">
        <w:r w:rsidR="00B34F72" w:rsidRPr="00303176">
          <w:rPr>
            <w:rStyle w:val="Hyperlink"/>
            <w:noProof/>
          </w:rPr>
          <w:t>5. RAZŠIRITEV PONUDBE V MOZIRSKEM GAJU</w:t>
        </w:r>
        <w:r w:rsidR="00B34F72">
          <w:rPr>
            <w:noProof/>
            <w:webHidden/>
          </w:rPr>
          <w:tab/>
        </w:r>
        <w:r w:rsidR="00B34F72">
          <w:rPr>
            <w:noProof/>
            <w:webHidden/>
          </w:rPr>
          <w:fldChar w:fldCharType="begin"/>
        </w:r>
        <w:r w:rsidR="00B34F72">
          <w:rPr>
            <w:noProof/>
            <w:webHidden/>
          </w:rPr>
          <w:instrText xml:space="preserve"> PAGEREF _Toc187546157 \h </w:instrText>
        </w:r>
        <w:r w:rsidR="00B34F72">
          <w:rPr>
            <w:noProof/>
            <w:webHidden/>
          </w:rPr>
        </w:r>
        <w:r w:rsidR="00B34F72">
          <w:rPr>
            <w:noProof/>
            <w:webHidden/>
          </w:rPr>
          <w:fldChar w:fldCharType="separate"/>
        </w:r>
        <w:r w:rsidR="00B34F72">
          <w:rPr>
            <w:noProof/>
            <w:webHidden/>
          </w:rPr>
          <w:t>3</w:t>
        </w:r>
        <w:r w:rsidR="00B34F72">
          <w:rPr>
            <w:noProof/>
            <w:webHidden/>
          </w:rPr>
          <w:fldChar w:fldCharType="end"/>
        </w:r>
      </w:hyperlink>
    </w:p>
    <w:p w:rsidR="00B34F72" w:rsidRDefault="00943605" w:rsidP="00397BE9">
      <w:pPr>
        <w:pStyle w:val="TOC1"/>
        <w:rPr>
          <w:noProof/>
        </w:rPr>
      </w:pPr>
      <w:hyperlink w:anchor="_Toc187546158" w:history="1">
        <w:r w:rsidR="00B34F72" w:rsidRPr="00303176">
          <w:rPr>
            <w:rStyle w:val="Hyperlink"/>
            <w:noProof/>
          </w:rPr>
          <w:t>6. POPLAVE V MOZIRSKEM GAJU</w:t>
        </w:r>
        <w:r w:rsidR="00B34F72">
          <w:rPr>
            <w:noProof/>
            <w:webHidden/>
          </w:rPr>
          <w:tab/>
        </w:r>
        <w:r w:rsidR="00B34F72">
          <w:rPr>
            <w:noProof/>
            <w:webHidden/>
          </w:rPr>
          <w:fldChar w:fldCharType="begin"/>
        </w:r>
        <w:r w:rsidR="00B34F72">
          <w:rPr>
            <w:noProof/>
            <w:webHidden/>
          </w:rPr>
          <w:instrText xml:space="preserve"> PAGEREF _Toc187546158 \h </w:instrText>
        </w:r>
        <w:r w:rsidR="00B34F72">
          <w:rPr>
            <w:noProof/>
            <w:webHidden/>
          </w:rPr>
        </w:r>
        <w:r w:rsidR="00B34F72">
          <w:rPr>
            <w:noProof/>
            <w:webHidden/>
          </w:rPr>
          <w:fldChar w:fldCharType="separate"/>
        </w:r>
        <w:r w:rsidR="00B34F72">
          <w:rPr>
            <w:noProof/>
            <w:webHidden/>
          </w:rPr>
          <w:t>4</w:t>
        </w:r>
        <w:r w:rsidR="00B34F72">
          <w:rPr>
            <w:noProof/>
            <w:webHidden/>
          </w:rPr>
          <w:fldChar w:fldCharType="end"/>
        </w:r>
      </w:hyperlink>
    </w:p>
    <w:p w:rsidR="00B34F72" w:rsidRDefault="00943605" w:rsidP="00397BE9">
      <w:pPr>
        <w:pStyle w:val="TOC1"/>
        <w:rPr>
          <w:noProof/>
        </w:rPr>
      </w:pPr>
      <w:hyperlink w:anchor="_Toc187546159" w:history="1">
        <w:r w:rsidR="00B34F72" w:rsidRPr="00303176">
          <w:rPr>
            <w:rStyle w:val="Hyperlink"/>
            <w:noProof/>
          </w:rPr>
          <w:t>7. UREDITEV GAJA PO POPLAVAH</w:t>
        </w:r>
        <w:r w:rsidR="00B34F72">
          <w:rPr>
            <w:noProof/>
            <w:webHidden/>
          </w:rPr>
          <w:tab/>
        </w:r>
        <w:r w:rsidR="00B34F72">
          <w:rPr>
            <w:noProof/>
            <w:webHidden/>
          </w:rPr>
          <w:fldChar w:fldCharType="begin"/>
        </w:r>
        <w:r w:rsidR="00B34F72">
          <w:rPr>
            <w:noProof/>
            <w:webHidden/>
          </w:rPr>
          <w:instrText xml:space="preserve"> PAGEREF _Toc187546159 \h </w:instrText>
        </w:r>
        <w:r w:rsidR="00B34F72">
          <w:rPr>
            <w:noProof/>
            <w:webHidden/>
          </w:rPr>
        </w:r>
        <w:r w:rsidR="00B34F72">
          <w:rPr>
            <w:noProof/>
            <w:webHidden/>
          </w:rPr>
          <w:fldChar w:fldCharType="separate"/>
        </w:r>
        <w:r w:rsidR="00B34F72">
          <w:rPr>
            <w:noProof/>
            <w:webHidden/>
          </w:rPr>
          <w:t>4</w:t>
        </w:r>
        <w:r w:rsidR="00B34F72">
          <w:rPr>
            <w:noProof/>
            <w:webHidden/>
          </w:rPr>
          <w:fldChar w:fldCharType="end"/>
        </w:r>
      </w:hyperlink>
    </w:p>
    <w:p w:rsidR="00B34F72" w:rsidRDefault="00943605" w:rsidP="00397BE9">
      <w:pPr>
        <w:pStyle w:val="TOC1"/>
        <w:rPr>
          <w:noProof/>
        </w:rPr>
      </w:pPr>
      <w:hyperlink w:anchor="_Toc187546160" w:history="1">
        <w:r w:rsidR="00B34F72" w:rsidRPr="00303176">
          <w:rPr>
            <w:rStyle w:val="Hyperlink"/>
            <w:noProof/>
          </w:rPr>
          <w:t>8. ZAKLJUČEK</w:t>
        </w:r>
        <w:r w:rsidR="00B34F72">
          <w:rPr>
            <w:noProof/>
            <w:webHidden/>
          </w:rPr>
          <w:tab/>
        </w:r>
        <w:r w:rsidR="00B34F72">
          <w:rPr>
            <w:noProof/>
            <w:webHidden/>
          </w:rPr>
          <w:fldChar w:fldCharType="begin"/>
        </w:r>
        <w:r w:rsidR="00B34F72">
          <w:rPr>
            <w:noProof/>
            <w:webHidden/>
          </w:rPr>
          <w:instrText xml:space="preserve"> PAGEREF _Toc187546160 \h </w:instrText>
        </w:r>
        <w:r w:rsidR="00B34F72">
          <w:rPr>
            <w:noProof/>
            <w:webHidden/>
          </w:rPr>
        </w:r>
        <w:r w:rsidR="00B34F72">
          <w:rPr>
            <w:noProof/>
            <w:webHidden/>
          </w:rPr>
          <w:fldChar w:fldCharType="separate"/>
        </w:r>
        <w:r w:rsidR="00B34F72">
          <w:rPr>
            <w:noProof/>
            <w:webHidden/>
          </w:rPr>
          <w:t>5</w:t>
        </w:r>
        <w:r w:rsidR="00B34F72">
          <w:rPr>
            <w:noProof/>
            <w:webHidden/>
          </w:rPr>
          <w:fldChar w:fldCharType="end"/>
        </w:r>
      </w:hyperlink>
    </w:p>
    <w:p w:rsidR="00B34F72" w:rsidRDefault="00943605" w:rsidP="00397BE9">
      <w:pPr>
        <w:pStyle w:val="TOC1"/>
        <w:rPr>
          <w:noProof/>
        </w:rPr>
      </w:pPr>
      <w:hyperlink w:anchor="_Toc187546161" w:history="1">
        <w:r w:rsidR="00B34F72" w:rsidRPr="00303176">
          <w:rPr>
            <w:rStyle w:val="Hyperlink"/>
            <w:noProof/>
          </w:rPr>
          <w:t>9. LITERATURA</w:t>
        </w:r>
        <w:r w:rsidR="00B34F72">
          <w:rPr>
            <w:noProof/>
            <w:webHidden/>
          </w:rPr>
          <w:tab/>
        </w:r>
        <w:r w:rsidR="00B34F72">
          <w:rPr>
            <w:noProof/>
            <w:webHidden/>
          </w:rPr>
          <w:fldChar w:fldCharType="begin"/>
        </w:r>
        <w:r w:rsidR="00B34F72">
          <w:rPr>
            <w:noProof/>
            <w:webHidden/>
          </w:rPr>
          <w:instrText xml:space="preserve"> PAGEREF _Toc187546161 \h </w:instrText>
        </w:r>
        <w:r w:rsidR="00B34F72">
          <w:rPr>
            <w:noProof/>
            <w:webHidden/>
          </w:rPr>
        </w:r>
        <w:r w:rsidR="00B34F72">
          <w:rPr>
            <w:noProof/>
            <w:webHidden/>
          </w:rPr>
          <w:fldChar w:fldCharType="separate"/>
        </w:r>
        <w:r w:rsidR="00B34F72">
          <w:rPr>
            <w:noProof/>
            <w:webHidden/>
          </w:rPr>
          <w:t>6</w:t>
        </w:r>
        <w:r w:rsidR="00B34F72">
          <w:rPr>
            <w:noProof/>
            <w:webHidden/>
          </w:rPr>
          <w:fldChar w:fldCharType="end"/>
        </w:r>
      </w:hyperlink>
    </w:p>
    <w:p w:rsidR="0095069B" w:rsidRDefault="00B34F72">
      <w:r>
        <w:fldChar w:fldCharType="end"/>
      </w:r>
    </w:p>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p w:rsidR="0095069B" w:rsidRDefault="0095069B"/>
    <w:tbl>
      <w:tblPr>
        <w:tblW w:w="11280" w:type="dxa"/>
        <w:tblCellSpacing w:w="75" w:type="dxa"/>
        <w:tblCellMar>
          <w:left w:w="0" w:type="dxa"/>
          <w:right w:w="0" w:type="dxa"/>
        </w:tblCellMar>
        <w:tblLook w:val="0000" w:firstRow="0" w:lastRow="0" w:firstColumn="0" w:lastColumn="0" w:noHBand="0" w:noVBand="0"/>
      </w:tblPr>
      <w:tblGrid>
        <w:gridCol w:w="11048"/>
        <w:gridCol w:w="232"/>
      </w:tblGrid>
      <w:tr w:rsidR="00046E3E" w:rsidRPr="002C0577" w:rsidTr="006318CB">
        <w:trPr>
          <w:tblCellSpacing w:w="75" w:type="dxa"/>
        </w:trPr>
        <w:tc>
          <w:tcPr>
            <w:tcW w:w="0" w:type="auto"/>
          </w:tcPr>
          <w:p w:rsidR="0095069B" w:rsidRDefault="0095069B"/>
          <w:tbl>
            <w:tblPr>
              <w:tblW w:w="9180" w:type="dxa"/>
              <w:tblCellSpacing w:w="0" w:type="dxa"/>
              <w:tblCellMar>
                <w:left w:w="0" w:type="dxa"/>
                <w:right w:w="0" w:type="dxa"/>
              </w:tblCellMar>
              <w:tblLook w:val="0000" w:firstRow="0" w:lastRow="0" w:firstColumn="0" w:lastColumn="0" w:noHBand="0" w:noVBand="0"/>
            </w:tblPr>
            <w:tblGrid>
              <w:gridCol w:w="9360"/>
            </w:tblGrid>
            <w:tr w:rsidR="00046E3E" w:rsidRPr="002C0577" w:rsidTr="0095069B">
              <w:trPr>
                <w:tblCellSpacing w:w="0" w:type="dxa"/>
              </w:trPr>
              <w:tc>
                <w:tcPr>
                  <w:tcW w:w="0" w:type="auto"/>
                  <w:vAlign w:val="center"/>
                </w:tcPr>
                <w:p w:rsidR="0095069B" w:rsidRDefault="0095069B"/>
                <w:tbl>
                  <w:tblPr>
                    <w:tblW w:w="9360" w:type="dxa"/>
                    <w:tblCellSpacing w:w="0" w:type="dxa"/>
                    <w:tblCellMar>
                      <w:left w:w="0" w:type="dxa"/>
                      <w:right w:w="0" w:type="dxa"/>
                    </w:tblCellMar>
                    <w:tblLook w:val="0000" w:firstRow="0" w:lastRow="0" w:firstColumn="0" w:lastColumn="0" w:noHBand="0" w:noVBand="0"/>
                  </w:tblPr>
                  <w:tblGrid>
                    <w:gridCol w:w="9360"/>
                  </w:tblGrid>
                  <w:tr w:rsidR="00046E3E" w:rsidRPr="002C0577" w:rsidTr="002A5256">
                    <w:trPr>
                      <w:tblCellSpacing w:w="0" w:type="dxa"/>
                    </w:trPr>
                    <w:tc>
                      <w:tcPr>
                        <w:tcW w:w="9360" w:type="dxa"/>
                        <w:vAlign w:val="center"/>
                      </w:tcPr>
                      <w:p w:rsidR="006116BA" w:rsidRDefault="006116BA" w:rsidP="002A5256">
                        <w:pPr>
                          <w:pStyle w:val="Heading1"/>
                          <w:rPr>
                            <w:rFonts w:ascii="Times New Roman" w:hAnsi="Times New Roman" w:cs="Times New Roman"/>
                            <w:sz w:val="28"/>
                            <w:szCs w:val="28"/>
                          </w:rPr>
                        </w:pPr>
                        <w:bookmarkStart w:id="1" w:name="_Toc187545882"/>
                        <w:bookmarkStart w:id="2" w:name="_Toc187546153"/>
                      </w:p>
                      <w:p w:rsidR="00046E3E" w:rsidRPr="006116BA" w:rsidRDefault="006116BA" w:rsidP="006116BA">
                        <w:pPr>
                          <w:pStyle w:val="Heading1"/>
                          <w:rPr>
                            <w:rFonts w:ascii="Times New Roman" w:hAnsi="Times New Roman"/>
                            <w:sz w:val="28"/>
                          </w:rPr>
                        </w:pPr>
                        <w:r w:rsidRPr="006116BA">
                          <w:rPr>
                            <w:rFonts w:ascii="Times New Roman" w:hAnsi="Times New Roman"/>
                            <w:sz w:val="28"/>
                          </w:rPr>
                          <w:t>1</w:t>
                        </w:r>
                        <w:r w:rsidR="002C0577" w:rsidRPr="006116BA">
                          <w:rPr>
                            <w:rFonts w:ascii="Times New Roman" w:hAnsi="Times New Roman"/>
                            <w:sz w:val="28"/>
                          </w:rPr>
                          <w:t>. UVOD</w:t>
                        </w:r>
                        <w:bookmarkEnd w:id="1"/>
                        <w:bookmarkEnd w:id="2"/>
                      </w:p>
                    </w:tc>
                  </w:tr>
                  <w:tr w:rsidR="00046E3E" w:rsidRPr="002C0577" w:rsidTr="002A5256">
                    <w:trPr>
                      <w:tblCellSpacing w:w="0" w:type="dxa"/>
                    </w:trPr>
                    <w:tc>
                      <w:tcPr>
                        <w:tcW w:w="9360" w:type="dxa"/>
                        <w:vAlign w:val="center"/>
                      </w:tcPr>
                      <w:p w:rsidR="0095069B" w:rsidRDefault="00046E3E" w:rsidP="006318CB">
                        <w:pPr>
                          <w:pStyle w:val="NormalWeb"/>
                          <w:spacing w:line="360" w:lineRule="auto"/>
                          <w:rPr>
                            <w:rFonts w:ascii="Times New Roman" w:hAnsi="Times New Roman" w:cs="Times New Roman"/>
                            <w:color w:val="auto"/>
                            <w:sz w:val="24"/>
                          </w:rPr>
                        </w:pPr>
                        <w:r w:rsidRPr="002C0577">
                          <w:rPr>
                            <w:rFonts w:ascii="Times New Roman" w:hAnsi="Times New Roman" w:cs="Times New Roman"/>
                            <w:color w:val="auto"/>
                            <w:sz w:val="24"/>
                          </w:rPr>
                          <w:t>Mozirski gaj je že zaradi svoje razgibane zgodovine nadvse zanimiv park. Lahko trdim, da je otrok Volčjega Potoka, saj je Arboretum pred osamosvojitvijo Slovenije sodeloval pri vseh pomembnejših prireditvah v Sloveniji in na Hrvaškem. Nič drugače ni bilo v Mozirju.</w:t>
                        </w:r>
                        <w:r w:rsidRPr="002C0577">
                          <w:rPr>
                            <w:rFonts w:ascii="Times New Roman" w:hAnsi="Times New Roman" w:cs="Times New Roman"/>
                            <w:color w:val="auto"/>
                            <w:sz w:val="24"/>
                          </w:rPr>
                          <w:br/>
                          <w:t>Zveza hortikulturnih dr</w:t>
                        </w:r>
                        <w:r w:rsidR="005D2984">
                          <w:rPr>
                            <w:rFonts w:ascii="Times New Roman" w:hAnsi="Times New Roman" w:cs="Times New Roman"/>
                            <w:color w:val="auto"/>
                            <w:sz w:val="24"/>
                          </w:rPr>
                          <w:t>uštev Slovenije je sprva vsako l</w:t>
                        </w:r>
                        <w:r w:rsidRPr="002C0577">
                          <w:rPr>
                            <w:rFonts w:ascii="Times New Roman" w:hAnsi="Times New Roman" w:cs="Times New Roman"/>
                            <w:color w:val="auto"/>
                            <w:sz w:val="24"/>
                          </w:rPr>
                          <w:t>eto organizirala vrtnarsko razstavo na Gospodarskem razstavišču v Ljubljani. Ko so z leti zahteve Razstavišča rasle, volja razstavljalcev pa usihala, je morala Zveza poiskati druge oblike tovrstnega delovanja, ki bi ljubezen do cvetja in kulture okolja bolj učinkovito približala vsem Slovencem.</w:t>
                        </w:r>
                      </w:p>
                      <w:p w:rsidR="0095069B" w:rsidRPr="002A5256" w:rsidRDefault="0095069B" w:rsidP="002A5256">
                        <w:pPr>
                          <w:pStyle w:val="Heading1"/>
                          <w:rPr>
                            <w:rFonts w:ascii="Times New Roman" w:hAnsi="Times New Roman"/>
                            <w:sz w:val="28"/>
                          </w:rPr>
                        </w:pPr>
                        <w:bookmarkStart w:id="3" w:name="_Toc187545883"/>
                        <w:bookmarkStart w:id="4" w:name="_Toc187546154"/>
                        <w:r w:rsidRPr="002A5256">
                          <w:rPr>
                            <w:rFonts w:ascii="Times New Roman" w:hAnsi="Times New Roman"/>
                            <w:sz w:val="28"/>
                          </w:rPr>
                          <w:t>2 . RAZŠIRITEV VRTNARSKIH RAZSTAV</w:t>
                        </w:r>
                        <w:bookmarkEnd w:id="3"/>
                        <w:bookmarkEnd w:id="4"/>
                      </w:p>
                      <w:p w:rsidR="0095069B" w:rsidRDefault="00046E3E" w:rsidP="006318CB">
                        <w:pPr>
                          <w:pStyle w:val="NormalWeb"/>
                          <w:spacing w:line="360" w:lineRule="auto"/>
                          <w:rPr>
                            <w:rFonts w:ascii="Times New Roman" w:hAnsi="Times New Roman" w:cs="Times New Roman"/>
                            <w:color w:val="auto"/>
                            <w:sz w:val="24"/>
                          </w:rPr>
                        </w:pPr>
                        <w:r w:rsidRPr="002C0577">
                          <w:rPr>
                            <w:rFonts w:ascii="Times New Roman" w:hAnsi="Times New Roman" w:cs="Times New Roman"/>
                            <w:color w:val="auto"/>
                            <w:sz w:val="24"/>
                          </w:rPr>
                          <w:t>Vrtnarska razstava je bila potem na vsaki dve leti in vselej v drugem kraju. Tako naj bi sčasoma vsi kraji, ki si to žele, dobili bolj kulturno podobo. Na razpis so se prve prijavile Jesenice na Gorenjskem, kjer se je že prej zvrstilo kar nekaj razstav. Jesenice so se zares začele prebujati in lepo urejeno komunalno zelenje se je vztrajno širilo. Trajen spomin na to obdobje pa je bogato urejen spominski park na opuščenem mestnem pokopališču. Zelo dejavni so bili tudi v Laškem. kjer se je prvotna čisto hortikulturna prireditev Pivo in cvetje z leti spremenila v pravo enotedensko ljudsko rajanje, ki ga vsako leto obišče okrog 150.000 obiskovalcev. Da prireditev spremlja vse bolj urejeno mesto, ni mogoče spregledati. Celjani so v tem programu popolnoma obnovili mestni park in zelenice v mestu. Moderni Sončni park, ki naj bi zrasel zahodno od mestnega jedra, pa bo najbrž za zmeraj ostal samo v načrtih.</w:t>
                        </w:r>
                        <w:r w:rsidRPr="002C0577">
                          <w:rPr>
                            <w:rFonts w:ascii="Times New Roman" w:hAnsi="Times New Roman" w:cs="Times New Roman"/>
                            <w:color w:val="auto"/>
                            <w:sz w:val="24"/>
                          </w:rPr>
                          <w:br/>
                          <w:t xml:space="preserve">Razstave so se v dvoletnem zaporedju zvrstile še v Brežicah, Kranju. Mariboru, Novem mestu, Trbovljah, Velenju in seveda tudi v Mozirju. Spremljala so jih številna predavanja in demonstracije na terenu. </w:t>
                        </w:r>
                      </w:p>
                      <w:p w:rsidR="0095069B" w:rsidRPr="002A5256" w:rsidRDefault="0095069B" w:rsidP="002A5256">
                        <w:pPr>
                          <w:pStyle w:val="Heading1"/>
                          <w:rPr>
                            <w:rFonts w:ascii="Times New Roman" w:hAnsi="Times New Roman"/>
                            <w:sz w:val="28"/>
                          </w:rPr>
                        </w:pPr>
                        <w:bookmarkStart w:id="5" w:name="_Toc187545884"/>
                        <w:bookmarkStart w:id="6" w:name="_Toc187546155"/>
                        <w:r w:rsidRPr="002A5256">
                          <w:rPr>
                            <w:rFonts w:ascii="Times New Roman" w:hAnsi="Times New Roman"/>
                            <w:sz w:val="28"/>
                          </w:rPr>
                          <w:t>3. USTANOVITEV DRUŠTVA VRTNARJEV</w:t>
                        </w:r>
                        <w:bookmarkEnd w:id="5"/>
                        <w:bookmarkEnd w:id="6"/>
                        <w:r w:rsidRPr="002A5256">
                          <w:rPr>
                            <w:rFonts w:ascii="Times New Roman" w:hAnsi="Times New Roman"/>
                            <w:sz w:val="28"/>
                          </w:rPr>
                          <w:t xml:space="preserve"> </w:t>
                        </w:r>
                      </w:p>
                      <w:p w:rsidR="00AD03AE" w:rsidRDefault="00046E3E" w:rsidP="006318CB">
                        <w:pPr>
                          <w:pStyle w:val="NormalWeb"/>
                          <w:spacing w:line="360" w:lineRule="auto"/>
                          <w:rPr>
                            <w:rFonts w:ascii="Times New Roman" w:hAnsi="Times New Roman" w:cs="Times New Roman"/>
                            <w:color w:val="auto"/>
                            <w:sz w:val="24"/>
                          </w:rPr>
                        </w:pPr>
                        <w:r w:rsidRPr="002C0577">
                          <w:rPr>
                            <w:rFonts w:ascii="Times New Roman" w:hAnsi="Times New Roman" w:cs="Times New Roman"/>
                            <w:color w:val="auto"/>
                            <w:sz w:val="24"/>
                          </w:rPr>
                          <w:t xml:space="preserve">Izjemen razmah hortikulturnega gibanja je spodbudil tudi nastanek Društva vrtnarjev Slovenije. Čeprav so bili vrtnarji tudi v hortikulturi vselej njeno najbolj dragoceno strokovno jedro. Kjer sta sodelovala motiviran ljubitelj in razgledan vrtnar, je hortikultura dobro uspevala. Da bi lahko </w:t>
                        </w:r>
                        <w:r w:rsidRPr="002C0577">
                          <w:rPr>
                            <w:rFonts w:ascii="Times New Roman" w:hAnsi="Times New Roman" w:cs="Times New Roman"/>
                            <w:color w:val="auto"/>
                            <w:sz w:val="24"/>
                          </w:rPr>
                          <w:lastRenderedPageBreak/>
                          <w:t>sodelovali na razpisu Zveze hortikulturnih društev, so v Mozirju ustanovili svoje hortiku</w:t>
                        </w:r>
                        <w:r w:rsidR="008C5792">
                          <w:rPr>
                            <w:rFonts w:ascii="Times New Roman" w:hAnsi="Times New Roman" w:cs="Times New Roman"/>
                            <w:color w:val="auto"/>
                            <w:sz w:val="24"/>
                          </w:rPr>
                          <w:t>l</w:t>
                        </w:r>
                        <w:r w:rsidRPr="002C0577">
                          <w:rPr>
                            <w:rFonts w:ascii="Times New Roman" w:hAnsi="Times New Roman" w:cs="Times New Roman"/>
                            <w:color w:val="auto"/>
                            <w:sz w:val="24"/>
                          </w:rPr>
                          <w:t xml:space="preserve">turno društvo in se že leta 1975 prijavili za republiško razstavo leta 1978. Za ta namen so določili </w:t>
                        </w:r>
                        <w:smartTag w:uri="urn:schemas-microsoft-com:office:smarttags" w:element="metricconverter">
                          <w:smartTagPr>
                            <w:attr w:name="ProductID" w:val="4 hektare"/>
                          </w:smartTagPr>
                          <w:r w:rsidRPr="002C0577">
                            <w:rPr>
                              <w:rFonts w:ascii="Times New Roman" w:hAnsi="Times New Roman" w:cs="Times New Roman"/>
                              <w:color w:val="auto"/>
                              <w:sz w:val="24"/>
                            </w:rPr>
                            <w:t>4 hektare</w:t>
                          </w:r>
                        </w:smartTag>
                        <w:r w:rsidRPr="002C0577">
                          <w:rPr>
                            <w:rFonts w:ascii="Times New Roman" w:hAnsi="Times New Roman" w:cs="Times New Roman"/>
                            <w:color w:val="auto"/>
                            <w:sz w:val="24"/>
                          </w:rPr>
                          <w:t xml:space="preserve"> veliko in popolnoma zapuščeno površino, za pomoč pa zaprosili Društvo vrtnarjev Slovenije v Celju. To pa je prošnjo preneslo Arboretumu Volčjem Potoku. Takšna naporna zastonjkarska dela takrat niso nikogar posebej mikala. Kolektiv Arboretuma je vložil veliko naporov, da se je zapuščena prodnata površina med Savinjo in potokom, ki napaja velik ribnik ob njenem vhodu, spremenila v parkovno površino za prireditev prve slovenske vrtnarske razstave na prostem.</w:t>
                        </w:r>
                      </w:p>
                      <w:p w:rsidR="00AD03AE" w:rsidRPr="002A5256" w:rsidRDefault="00AD03AE" w:rsidP="002A5256">
                        <w:pPr>
                          <w:pStyle w:val="Heading1"/>
                          <w:rPr>
                            <w:rFonts w:ascii="Times New Roman" w:hAnsi="Times New Roman"/>
                            <w:sz w:val="28"/>
                          </w:rPr>
                        </w:pPr>
                        <w:bookmarkStart w:id="7" w:name="_Toc187545885"/>
                        <w:bookmarkStart w:id="8" w:name="_Toc187546156"/>
                        <w:r w:rsidRPr="002A5256">
                          <w:rPr>
                            <w:rFonts w:ascii="Times New Roman" w:hAnsi="Times New Roman"/>
                            <w:sz w:val="28"/>
                          </w:rPr>
                          <w:t>4. NASTANEK IN RAZVOJ MOZIRSKEGA GAJA</w:t>
                        </w:r>
                        <w:bookmarkEnd w:id="7"/>
                        <w:bookmarkEnd w:id="8"/>
                        <w:r w:rsidR="00046E3E" w:rsidRPr="002A5256">
                          <w:rPr>
                            <w:rFonts w:ascii="Times New Roman" w:hAnsi="Times New Roman"/>
                            <w:sz w:val="28"/>
                          </w:rPr>
                          <w:t xml:space="preserve"> </w:t>
                        </w:r>
                      </w:p>
                      <w:p w:rsidR="00046E3E" w:rsidRDefault="00046E3E" w:rsidP="006318CB">
                        <w:pPr>
                          <w:pStyle w:val="NormalWeb"/>
                          <w:spacing w:line="360" w:lineRule="auto"/>
                          <w:rPr>
                            <w:rFonts w:ascii="Times New Roman" w:hAnsi="Times New Roman" w:cs="Times New Roman"/>
                            <w:color w:val="auto"/>
                            <w:sz w:val="24"/>
                          </w:rPr>
                        </w:pPr>
                        <w:r w:rsidRPr="002C0577">
                          <w:rPr>
                            <w:rFonts w:ascii="Times New Roman" w:hAnsi="Times New Roman" w:cs="Times New Roman"/>
                            <w:color w:val="auto"/>
                            <w:sz w:val="24"/>
                          </w:rPr>
                          <w:t>Moto razstave je bil "1</w:t>
                        </w:r>
                        <w:r w:rsidR="008C5792">
                          <w:rPr>
                            <w:rFonts w:ascii="Times New Roman" w:hAnsi="Times New Roman" w:cs="Times New Roman"/>
                            <w:color w:val="auto"/>
                            <w:sz w:val="24"/>
                          </w:rPr>
                          <w:t>00000 tulipanov na Slovenskem".</w:t>
                        </w:r>
                        <w:r w:rsidRPr="002C0577">
                          <w:rPr>
                            <w:rFonts w:ascii="Times New Roman" w:hAnsi="Times New Roman" w:cs="Times New Roman"/>
                            <w:color w:val="auto"/>
                            <w:sz w:val="24"/>
                          </w:rPr>
                          <w:t xml:space="preserve"> Veliko ljubeznive naklonjenosti je pokazalo Združenje holandskih gojiteljev okrasnih čebulnic</w:t>
                        </w:r>
                        <w:r w:rsidR="00AD03AE">
                          <w:rPr>
                            <w:rFonts w:ascii="Times New Roman" w:hAnsi="Times New Roman" w:cs="Times New Roman"/>
                            <w:color w:val="auto"/>
                            <w:sz w:val="24"/>
                          </w:rPr>
                          <w:t xml:space="preserve">. </w:t>
                        </w:r>
                        <w:r w:rsidRPr="002C0577">
                          <w:rPr>
                            <w:rFonts w:ascii="Times New Roman" w:hAnsi="Times New Roman" w:cs="Times New Roman"/>
                            <w:color w:val="auto"/>
                            <w:sz w:val="24"/>
                          </w:rPr>
                          <w:t xml:space="preserve">Ko sploh nismo več verjeli, da bi se naše predstave lahko uresničile, so pozna v jeseni tulipani končno prispeli. Zarisali smo grede, tulipane po sortah razdelili, posadile pa so jih Mozirjanke - članice hortikulturnega društva. Sadile so tako vestno in temeljito, da </w:t>
                        </w:r>
                        <w:r w:rsidR="00AD03AE">
                          <w:rPr>
                            <w:rFonts w:ascii="Times New Roman" w:hAnsi="Times New Roman" w:cs="Times New Roman"/>
                            <w:color w:val="auto"/>
                            <w:sz w:val="24"/>
                          </w:rPr>
                          <w:t>tudi ena greda ni bila neenotna</w:t>
                        </w:r>
                        <w:r w:rsidRPr="002C0577">
                          <w:rPr>
                            <w:rFonts w:ascii="Times New Roman" w:hAnsi="Times New Roman" w:cs="Times New Roman"/>
                            <w:color w:val="auto"/>
                            <w:sz w:val="24"/>
                          </w:rPr>
                          <w:t xml:space="preserve">. V Mozirju so vrtnarji, družbeni in zasebni, prvič množično sodelovali. Tulipane so poleti zamenjale pisane enoletnice. In ker je vrtnar Skornšek poskrbel, da je bila tudi trata vselej natančno negovana, se je uspeh pokazal. Sprva smo predvidevali, da se bo razstavna površina spremenita v vaški park in čakala na kakšno drugo razstavo. Uspeh razstave pa je omamil vrtnarja Skornška, ki je nato kar sam vsako leto posadil okrog 100.000 tulipanov. Poleti pa ustrezno število živobarvnih enoletnic. Pri tem so mu veliko pomagali vrtnarji iz vse Slovenije. Zaživele so tudi vzporedne prireditve in priložnostna srečanja vrtnarjev v Mozirju, ki so moralno in gmotno pripomogla, da je gaj zaživel. Brez te pomoči bi Skornšek zagotovo moral prej ali slej odnehati, saj včasih ni bila priljubljena ekonomska vstopnina, ki tak objekt lahko vzdržuje. Kljub vsemu je Mozirski gaj kmalu zašel v težave. Skornšek pa kot vrtnar z dušo in telesom preprosto ni zmogel dopustiti, da bi s tolikšnim trudom pridobljeni gaj pred njegovimi očmi žalostno umiral. Začutil je svoje poklicno poslanstvo in brcal na vse strani; prosil je, rotil in grozil, dokler pokroviteljstvo nad gajem ni prevzelo Društvo vrtnarjev Slovenije. Kasneje so se potrdile domneve, da tudi to ni trajna rešitev. </w:t>
                        </w:r>
                      </w:p>
                      <w:p w:rsidR="008C5792" w:rsidRPr="002A5256" w:rsidRDefault="008C5792" w:rsidP="002A5256">
                        <w:pPr>
                          <w:pStyle w:val="Heading1"/>
                          <w:rPr>
                            <w:rFonts w:ascii="Times New Roman" w:hAnsi="Times New Roman"/>
                            <w:sz w:val="28"/>
                          </w:rPr>
                        </w:pPr>
                        <w:bookmarkStart w:id="9" w:name="_Toc187545886"/>
                        <w:bookmarkStart w:id="10" w:name="_Toc187546157"/>
                        <w:r w:rsidRPr="002A5256">
                          <w:rPr>
                            <w:rFonts w:ascii="Times New Roman" w:hAnsi="Times New Roman"/>
                            <w:sz w:val="28"/>
                          </w:rPr>
                          <w:t>5. RAZŠIRITEV PONUDBE V MOZIRSKEM GAJU</w:t>
                        </w:r>
                        <w:bookmarkEnd w:id="9"/>
                        <w:bookmarkEnd w:id="10"/>
                      </w:p>
                    </w:tc>
                  </w:tr>
                  <w:tr w:rsidR="00046E3E" w:rsidRPr="002C0577" w:rsidTr="002A5256">
                    <w:trPr>
                      <w:tblCellSpacing w:w="0" w:type="dxa"/>
                    </w:trPr>
                    <w:tc>
                      <w:tcPr>
                        <w:tcW w:w="9360" w:type="dxa"/>
                        <w:vAlign w:val="center"/>
                      </w:tcPr>
                      <w:p w:rsidR="00046E3E" w:rsidRPr="002C0577" w:rsidRDefault="00046E3E" w:rsidP="002C0577">
                        <w:pPr>
                          <w:spacing w:line="360" w:lineRule="auto"/>
                          <w:jc w:val="both"/>
                          <w:rPr>
                            <w:szCs w:val="20"/>
                          </w:rPr>
                        </w:pPr>
                      </w:p>
                    </w:tc>
                  </w:tr>
                  <w:tr w:rsidR="00046E3E" w:rsidRPr="002C0577" w:rsidTr="002A5256">
                    <w:trPr>
                      <w:tblCellSpacing w:w="0" w:type="dxa"/>
                    </w:trPr>
                    <w:tc>
                      <w:tcPr>
                        <w:tcW w:w="9360" w:type="dxa"/>
                        <w:vAlign w:val="center"/>
                      </w:tcPr>
                      <w:p w:rsidR="00537BB0" w:rsidRDefault="00046E3E" w:rsidP="006318CB">
                        <w:pPr>
                          <w:pStyle w:val="NormalWeb"/>
                          <w:spacing w:line="360" w:lineRule="auto"/>
                          <w:rPr>
                            <w:rFonts w:ascii="Times New Roman" w:hAnsi="Times New Roman" w:cs="Times New Roman"/>
                            <w:color w:val="auto"/>
                            <w:sz w:val="24"/>
                          </w:rPr>
                        </w:pPr>
                        <w:r w:rsidRPr="002C0577">
                          <w:rPr>
                            <w:rFonts w:ascii="Times New Roman" w:hAnsi="Times New Roman" w:cs="Times New Roman"/>
                            <w:color w:val="auto"/>
                            <w:sz w:val="24"/>
                          </w:rPr>
                          <w:t xml:space="preserve"> Obiskovalci in vrtnarji so </w:t>
                        </w:r>
                        <w:r w:rsidR="00AB0D55">
                          <w:rPr>
                            <w:rFonts w:ascii="Times New Roman" w:hAnsi="Times New Roman" w:cs="Times New Roman"/>
                            <w:color w:val="auto"/>
                            <w:sz w:val="24"/>
                          </w:rPr>
                          <w:t xml:space="preserve">ponudbo </w:t>
                        </w:r>
                        <w:r w:rsidRPr="002C0577">
                          <w:rPr>
                            <w:rFonts w:ascii="Times New Roman" w:hAnsi="Times New Roman" w:cs="Times New Roman"/>
                            <w:color w:val="auto"/>
                            <w:sz w:val="24"/>
                          </w:rPr>
                          <w:t xml:space="preserve">sprejeli z navdušenjem. </w:t>
                        </w:r>
                        <w:r w:rsidR="00AB0D55">
                          <w:rPr>
                            <w:rFonts w:ascii="Times New Roman" w:hAnsi="Times New Roman" w:cs="Times New Roman"/>
                            <w:color w:val="auto"/>
                            <w:sz w:val="24"/>
                          </w:rPr>
                          <w:t xml:space="preserve">Floristka iz Ljubljane </w:t>
                        </w:r>
                        <w:r w:rsidRPr="002C0577">
                          <w:rPr>
                            <w:rFonts w:ascii="Times New Roman" w:hAnsi="Times New Roman" w:cs="Times New Roman"/>
                            <w:color w:val="auto"/>
                            <w:sz w:val="24"/>
                          </w:rPr>
                          <w:t xml:space="preserve">je predlagala za dotlej na planem navadno razstavo cvetličnih aranžmajev. Za začetek naj bi okrasili žuboreč </w:t>
                        </w:r>
                        <w:r w:rsidRPr="002C0577">
                          <w:rPr>
                            <w:rFonts w:ascii="Times New Roman" w:hAnsi="Times New Roman" w:cs="Times New Roman"/>
                            <w:color w:val="auto"/>
                            <w:sz w:val="24"/>
                          </w:rPr>
                          <w:lastRenderedPageBreak/>
                          <w:t xml:space="preserve">potok, ki teče ob parku. Cvetlični aranžmaji v parku, še posebej ob bistrem naravnem potoku, so sicer anahronizem brez primere. Poskus pa je uspel in že naslednje leto se je razstava aranžmajev razmahnila po vsej površini parka. Glavni koreograf teh svojevrstnih prireditev z vabljivimi naslovi, je bil Janko Jemec iz Maribora. Opogumljeno z uspehi je Društvo vrtnarjev priklicalo v življenje odbor za urejanje gaja, katerega gonilna sila je bil organizacijsko zelo okreten vrtnar Andrej Berlič iz Ljubljane. Leta 1989 je odbor v gaju organiziral odmevno razstavo, ki je presenetila celo organizatorje same. Mozirski gaj je postal prava romarska pot. Pri tem je seveda bilo tudi veliko sreče. Leta 1989 se ničesar ni dogajalo. In v tem naelektrenem ozračju se v zakotnem Mozirju pojavi močan žarek upanja, ki je tako blagodejno naznanjal boljše čase. Kdor je le mogel, je pohitel k temu viru upanja in denarni uspeh obiskovalskega navala je bil presenetljiv. Vzporedno s tem si je odbor prizadeval, da bi se predvsem </w:t>
                        </w:r>
                        <w:r w:rsidR="00326A4B">
                          <w:rPr>
                            <w:rFonts w:ascii="Times New Roman" w:hAnsi="Times New Roman" w:cs="Times New Roman"/>
                            <w:color w:val="auto"/>
                            <w:sz w:val="24"/>
                          </w:rPr>
                          <w:t>lokalna družbena skupnost u</w:t>
                        </w:r>
                        <w:r w:rsidRPr="002C0577">
                          <w:rPr>
                            <w:rFonts w:ascii="Times New Roman" w:hAnsi="Times New Roman" w:cs="Times New Roman"/>
                            <w:color w:val="auto"/>
                            <w:sz w:val="24"/>
                          </w:rPr>
                          <w:t>vedla velike kulturne in gospodarske vrednosti tega objekta. Naročil je širitev parka na vso razpoložljivo površino (os</w:t>
                        </w:r>
                        <w:r w:rsidR="00537BB0">
                          <w:rPr>
                            <w:rFonts w:ascii="Times New Roman" w:hAnsi="Times New Roman" w:cs="Times New Roman"/>
                            <w:color w:val="auto"/>
                            <w:sz w:val="24"/>
                          </w:rPr>
                          <w:t>em hektarov) in sprejel predlog,</w:t>
                        </w:r>
                        <w:r w:rsidRPr="002C0577">
                          <w:rPr>
                            <w:rFonts w:ascii="Times New Roman" w:hAnsi="Times New Roman" w:cs="Times New Roman"/>
                            <w:color w:val="auto"/>
                            <w:sz w:val="24"/>
                          </w:rPr>
                          <w:t xml:space="preserve"> da bi v gaju nastala zbirka rož (rozarij), kakršne v tedanji Jugoslaviji še ni bilo. Vrtnice bi spremljala zbirka perunik, gredni značaj parka pa bi ostal ohranjen. Prav za vrtnice in perunike so v gaju odlične naravne razmere. </w:t>
                        </w:r>
                      </w:p>
                      <w:p w:rsidR="00537BB0" w:rsidRDefault="00537BB0" w:rsidP="006318CB">
                        <w:pPr>
                          <w:pStyle w:val="NormalWeb"/>
                          <w:spacing w:line="360" w:lineRule="auto"/>
                          <w:rPr>
                            <w:rFonts w:ascii="Times New Roman" w:hAnsi="Times New Roman" w:cs="Times New Roman"/>
                            <w:color w:val="auto"/>
                            <w:sz w:val="24"/>
                          </w:rPr>
                        </w:pPr>
                        <w:bookmarkStart w:id="11" w:name="_Toc187545887"/>
                        <w:bookmarkStart w:id="12" w:name="_Toc187546158"/>
                        <w:r w:rsidRPr="002A5256">
                          <w:rPr>
                            <w:rStyle w:val="Heading1Char"/>
                            <w:rFonts w:ascii="Times New Roman" w:hAnsi="Times New Roman"/>
                            <w:color w:val="auto"/>
                            <w:sz w:val="28"/>
                          </w:rPr>
                          <w:t>6. POPLAVE V MOZIRSKEM GAJU</w:t>
                        </w:r>
                        <w:bookmarkEnd w:id="11"/>
                        <w:bookmarkEnd w:id="12"/>
                        <w:r w:rsidR="00046E3E" w:rsidRPr="002C0577">
                          <w:rPr>
                            <w:rFonts w:ascii="Times New Roman" w:hAnsi="Times New Roman" w:cs="Times New Roman"/>
                            <w:color w:val="auto"/>
                            <w:sz w:val="24"/>
                          </w:rPr>
                          <w:br/>
                          <w:t>Preveč lepo bi bilo, če bi šlo vse tako gladko. Jeseni 1990, ko so bile že vse grede posajene s tulipani, je katastrofalna poplava gaj dobesedno odnesla. Društvo vrtnarjev Slovenije se je umaknilo v varno zavetje Arboretuma v Volčjem Potoku in že naslednjo pomlad tam organiziralo veliko in zelo odmevno razstavo podobnega tipa, kakor že nekaj let prej v Mozirju. S tem je prenehalo tudi njegovo pokroviteljstvo v Mozirskem gaju. V čudovitem Volčjem Potoku se seveda ponujajo raznotere možnosti, presenetljivo pa je, da je prav Mozirski gaj imel tako močan vrnitveni vpliv na Arboretum. Predvsem so tega lahko veseli Nizozemci, saj takšne reklame nimajo nikjer drugod.</w:t>
                        </w:r>
                        <w:r w:rsidR="00046E3E" w:rsidRPr="002C0577">
                          <w:rPr>
                            <w:rFonts w:ascii="Times New Roman" w:hAnsi="Times New Roman" w:cs="Times New Roman"/>
                            <w:color w:val="auto"/>
                            <w:sz w:val="24"/>
                          </w:rPr>
                          <w:br/>
                          <w:t>Dva milijona tulipanov je Arboretum spremenilo v tulpetum, kakršen je samo še v Keukenhofu na Nizozemskem. Celo Keukenhof nima več kakor štiri milijone in pol okrasnih čebulnic, tulipanov pa le nekaj več kakor v Volčjem Potoku. Tudi navdušenje glede vodnih ptic se je iz Mozirja preselila v Volčji Potok. Res da vodne ptice morda privabijo nekaj obiskovalcev, škoda, ki jo povzročijo, pa je neprimerno večja. 0 tem pa se morajo prepričati prireditelji sami. Ujete živali, ki naj skladno dopolnjujejo lepotne podobe rastlinskih motivov, terjajo posebno skrb, ki jo pri nas celo v živalskih v</w:t>
                        </w:r>
                        <w:r>
                          <w:rPr>
                            <w:rFonts w:ascii="Times New Roman" w:hAnsi="Times New Roman" w:cs="Times New Roman"/>
                            <w:color w:val="auto"/>
                            <w:sz w:val="24"/>
                          </w:rPr>
                          <w:t xml:space="preserve">rtovih nismo zmožni ponuditi. </w:t>
                        </w:r>
                      </w:p>
                      <w:p w:rsidR="00537BB0" w:rsidRDefault="00537BB0" w:rsidP="006318CB">
                        <w:pPr>
                          <w:pStyle w:val="NormalWeb"/>
                          <w:spacing w:line="360" w:lineRule="auto"/>
                          <w:rPr>
                            <w:rFonts w:ascii="Times New Roman" w:hAnsi="Times New Roman" w:cs="Times New Roman"/>
                            <w:color w:val="auto"/>
                            <w:sz w:val="24"/>
                          </w:rPr>
                        </w:pPr>
                        <w:bookmarkStart w:id="13" w:name="_Toc187545888"/>
                        <w:bookmarkStart w:id="14" w:name="_Toc187546159"/>
                        <w:r w:rsidRPr="002A5256">
                          <w:rPr>
                            <w:rStyle w:val="Heading1Char"/>
                            <w:rFonts w:ascii="Times New Roman" w:hAnsi="Times New Roman"/>
                            <w:color w:val="auto"/>
                            <w:sz w:val="28"/>
                          </w:rPr>
                          <w:lastRenderedPageBreak/>
                          <w:t>7. UREDITEV GAJA PO POPLAVAH</w:t>
                        </w:r>
                        <w:bookmarkEnd w:id="13"/>
                        <w:bookmarkEnd w:id="14"/>
                        <w:r>
                          <w:rPr>
                            <w:rFonts w:ascii="Times New Roman" w:hAnsi="Times New Roman" w:cs="Times New Roman"/>
                            <w:color w:val="auto"/>
                            <w:sz w:val="24"/>
                          </w:rPr>
                          <w:br/>
                        </w:r>
                        <w:r w:rsidR="00046E3E" w:rsidRPr="002C0577">
                          <w:rPr>
                            <w:rFonts w:ascii="Times New Roman" w:hAnsi="Times New Roman" w:cs="Times New Roman"/>
                            <w:color w:val="auto"/>
                            <w:sz w:val="24"/>
                          </w:rPr>
                          <w:t>Po razdiralni poplavi je Mozirski gaj ostal prepuščen sam sebi. Njegova svetla prihodnost pa ni bila vprašljiva. Na vsakih dvanajst let bi morali tako obnoviti vsak sodobnejši park, drugače postane za obiskovalce dolgočasen in nezanimiv. Obnovitvena dela v gaju so potekala polni dve leti, toda že leta 1991 je bil stari del že toliko obnovljen, da smo lahko priredili skromno razstavo, ki pa je vendarle vrgla toliko denarja, da smo sproti plačevali obnovitvena dela. V veliko pomoč so nam bili Vrtnarska šola iz Celja, dolenjski vrtnarji in komunalni delavci s Ptuja. Duh vzajemnosti, to je tisti čudoviti fluid, ki tako skrivnostno povezuje resnične vrtnarje, je kljub odhodu Društva vrtnarjev nemoteno deloval. Vrtnarji so bili ponosni na uspehe v Volčjem Potoku, saj zaradi tega obnova Mozirskega gaja ni bila vprašljiva. Ukinitev društvenega pokroviteljstva nad gajem je učinkovalo celo pozitivno. Mozirska občina je najbrž le spoznala, da je sama gospodarica na svojem območju in da nihče od zunaj ne zmore bi</w:t>
                        </w:r>
                        <w:r>
                          <w:rPr>
                            <w:rFonts w:ascii="Times New Roman" w:hAnsi="Times New Roman" w:cs="Times New Roman"/>
                            <w:color w:val="auto"/>
                            <w:sz w:val="24"/>
                          </w:rPr>
                          <w:t>ti tako motiviran in zanesljiv o</w:t>
                        </w:r>
                        <w:r w:rsidR="00046E3E" w:rsidRPr="002C0577">
                          <w:rPr>
                            <w:rFonts w:ascii="Times New Roman" w:hAnsi="Times New Roman" w:cs="Times New Roman"/>
                            <w:color w:val="auto"/>
                            <w:sz w:val="24"/>
                          </w:rPr>
                          <w:t>prav</w:t>
                        </w:r>
                        <w:r>
                          <w:rPr>
                            <w:rFonts w:ascii="Times New Roman" w:hAnsi="Times New Roman" w:cs="Times New Roman"/>
                            <w:color w:val="auto"/>
                            <w:sz w:val="24"/>
                          </w:rPr>
                          <w:t>ljalec, kakor je lahko domačin.</w:t>
                        </w:r>
                        <w:r w:rsidR="00046E3E" w:rsidRPr="002C0577">
                          <w:rPr>
                            <w:rFonts w:ascii="Times New Roman" w:hAnsi="Times New Roman" w:cs="Times New Roman"/>
                            <w:color w:val="auto"/>
                            <w:sz w:val="24"/>
                          </w:rPr>
                          <w:t xml:space="preserve"> Takšni objekti izredno poživijo številne gospodarske dejavnosti, obenem pa varujejo naša dragocena naravna območja pred prehitrim uničenjem. Takšnih območij pa je v zgornji Savinjski dolini na pretek. Mozirjani so po poplavi postali izredno dejavni, saj je poleg gaja na Mozirski planini nastajal alpski vrt, ki bi zagotovo bil najbolj izviren </w:t>
                        </w:r>
                        <w:r>
                          <w:rPr>
                            <w:rFonts w:ascii="Times New Roman" w:hAnsi="Times New Roman" w:cs="Times New Roman"/>
                            <w:color w:val="auto"/>
                            <w:sz w:val="24"/>
                          </w:rPr>
                          <w:t>in divji, kar jih je v Evropi.</w:t>
                        </w:r>
                        <w:r w:rsidR="00046E3E" w:rsidRPr="002C0577">
                          <w:rPr>
                            <w:rFonts w:ascii="Times New Roman" w:hAnsi="Times New Roman" w:cs="Times New Roman"/>
                            <w:color w:val="auto"/>
                            <w:sz w:val="24"/>
                          </w:rPr>
                          <w:t xml:space="preserve"> Mozirski gaj pa smo obnovili in razširili do skrajnih meja. Težav medtem ni zmanjkalo. Vodarji so nam zaradi gradnje poplavnih nasipov uničili lep zelen okvir ob Savinji, kar pa končno le ni bistveno vplivalo na lepotno podobo gaja. Nasprotno, na nasipu je nastala mikavna sprehajalna pot z nenadomestljivim vedutnim bogastvom. Bolj so nas prizadele suše z množičnim pojavom zalubnikov. Vse lepe orjaške smreke so postale žrtev te nadloge. Medtem pa je odbor mladih podjetnih domačinov že poskrbel za namakalno mrežo po vsem parku, ki bo podobne težave v prihodnje preprečila. Vode je povsod dovolj, samo razpeljati po parku jo je treba. Namakanje bi lahko uredili že prej, glas naroda pa je odločil, da se v gaju najprej postavi kapela. </w:t>
                        </w:r>
                        <w:r w:rsidR="00046E3E" w:rsidRPr="002C0577">
                          <w:rPr>
                            <w:rFonts w:ascii="Times New Roman" w:hAnsi="Times New Roman" w:cs="Times New Roman"/>
                            <w:color w:val="auto"/>
                            <w:sz w:val="24"/>
                          </w:rPr>
                          <w:br/>
                          <w:t>Mozirski gaj bo zagotovo ostal gredni park. saj takšna oblika zahteva najmanj profesionalnosti in pri našem občinstvu uživa največ pozornosti. Vzdrževalci morajo imeti samo toliko denarja in domišljije, da lahko grede poljubno spreminjajo, ukinjajo in dopolnjujejo.</w:t>
                        </w:r>
                      </w:p>
                      <w:p w:rsidR="00046E3E" w:rsidRPr="002C0577" w:rsidRDefault="00537BB0" w:rsidP="006318CB">
                        <w:pPr>
                          <w:pStyle w:val="NormalWeb"/>
                          <w:spacing w:line="360" w:lineRule="auto"/>
                          <w:rPr>
                            <w:rFonts w:ascii="Times New Roman" w:hAnsi="Times New Roman" w:cs="Times New Roman"/>
                            <w:color w:val="auto"/>
                            <w:sz w:val="24"/>
                          </w:rPr>
                        </w:pPr>
                        <w:bookmarkStart w:id="15" w:name="_Toc187545889"/>
                        <w:bookmarkStart w:id="16" w:name="_Toc187546160"/>
                        <w:r w:rsidRPr="002A5256">
                          <w:rPr>
                            <w:rStyle w:val="Heading1Char"/>
                            <w:rFonts w:ascii="Times New Roman" w:hAnsi="Times New Roman"/>
                            <w:color w:val="auto"/>
                            <w:sz w:val="28"/>
                          </w:rPr>
                          <w:t>8. ZAKLJUČEK</w:t>
                        </w:r>
                        <w:bookmarkEnd w:id="15"/>
                        <w:bookmarkEnd w:id="16"/>
                        <w:r w:rsidR="00046E3E" w:rsidRPr="002C0577">
                          <w:rPr>
                            <w:rFonts w:ascii="Times New Roman" w:hAnsi="Times New Roman" w:cs="Times New Roman"/>
                            <w:color w:val="auto"/>
                            <w:sz w:val="24"/>
                          </w:rPr>
                          <w:t xml:space="preserve"> </w:t>
                        </w:r>
                        <w:r w:rsidR="00046E3E" w:rsidRPr="002C0577">
                          <w:rPr>
                            <w:rFonts w:ascii="Times New Roman" w:hAnsi="Times New Roman" w:cs="Times New Roman"/>
                            <w:color w:val="auto"/>
                            <w:sz w:val="24"/>
                          </w:rPr>
                          <w:br/>
                          <w:t xml:space="preserve">Bogastvo srca pa je več kakor vse drugo na tem svetu. Je življenjska radost, ki v ljubezni do drugih ne misli samo na milijone. Vrtnarjeva ljubezen velja predvsem lepim rastlinam, ki notranje plemenitijo in razveseljujejo premnoge med nami. Takšni vrtnarji so nam posebej </w:t>
                        </w:r>
                        <w:r w:rsidR="00046E3E" w:rsidRPr="002C0577">
                          <w:rPr>
                            <w:rFonts w:ascii="Times New Roman" w:hAnsi="Times New Roman" w:cs="Times New Roman"/>
                            <w:color w:val="auto"/>
                            <w:sz w:val="24"/>
                          </w:rPr>
                          <w:lastRenderedPageBreak/>
                          <w:t>potrebni na deželi. V mestih se vselej najde denar za parke in zelenice, ker tam pač izpolnjujejo pomembno kulturno in socialno poslanstvo. Na deželi pa morajo biti parki oblikovani tako, da privabijo kar je mogoče veliko lepote željnih obiskovalcev. Na Zahodu vneto obnavljajo stare vrtove okrog gradov, za katere največkrat niti ne vedo, kakšni so bili v resnici (Het Loo na Holandskem, Villandy v Franciji). V Mozirju si pomagajo z barvitim cvetjem in razstavami. Kakor vsako leto bo tudi letos v začetku septembra velika vrtnarska razstava na prostem, kot dostojen enoletni sklep plemenitih prizadevanj pridnih vrtnarjev.</w:t>
                        </w:r>
                      </w:p>
                    </w:tc>
                  </w:tr>
                  <w:tr w:rsidR="00046E3E" w:rsidRPr="002C0577" w:rsidTr="002A5256">
                    <w:trPr>
                      <w:tblCellSpacing w:w="0" w:type="dxa"/>
                    </w:trPr>
                    <w:tc>
                      <w:tcPr>
                        <w:tcW w:w="9360" w:type="dxa"/>
                        <w:vAlign w:val="center"/>
                      </w:tcPr>
                      <w:p w:rsidR="00046E3E" w:rsidRPr="002C0577" w:rsidRDefault="00046E3E" w:rsidP="002C0577">
                        <w:pPr>
                          <w:spacing w:line="360" w:lineRule="auto"/>
                          <w:jc w:val="both"/>
                          <w:rPr>
                            <w:szCs w:val="20"/>
                          </w:rPr>
                        </w:pPr>
                      </w:p>
                    </w:tc>
                  </w:tr>
                  <w:tr w:rsidR="00046E3E" w:rsidRPr="002C0577" w:rsidTr="002A5256">
                    <w:trPr>
                      <w:tblCellSpacing w:w="0" w:type="dxa"/>
                    </w:trPr>
                    <w:tc>
                      <w:tcPr>
                        <w:tcW w:w="9360" w:type="dxa"/>
                        <w:vAlign w:val="center"/>
                      </w:tcPr>
                      <w:p w:rsidR="00046E3E" w:rsidRPr="002C0577" w:rsidRDefault="00046E3E" w:rsidP="002C0577">
                        <w:pPr>
                          <w:spacing w:line="360" w:lineRule="auto"/>
                          <w:jc w:val="both"/>
                          <w:rPr>
                            <w:szCs w:val="20"/>
                          </w:rPr>
                        </w:pPr>
                      </w:p>
                    </w:tc>
                  </w:tr>
                  <w:tr w:rsidR="00046E3E" w:rsidRPr="002C0577" w:rsidTr="002A5256">
                    <w:trPr>
                      <w:tblCellSpacing w:w="0" w:type="dxa"/>
                    </w:trPr>
                    <w:tc>
                      <w:tcPr>
                        <w:tcW w:w="9360" w:type="dxa"/>
                        <w:vAlign w:val="center"/>
                      </w:tcPr>
                      <w:p w:rsidR="00046E3E" w:rsidRPr="002C0577" w:rsidRDefault="00046E3E" w:rsidP="002C0577">
                        <w:pPr>
                          <w:spacing w:line="360" w:lineRule="auto"/>
                          <w:jc w:val="both"/>
                          <w:rPr>
                            <w:szCs w:val="20"/>
                          </w:rPr>
                        </w:pPr>
                      </w:p>
                    </w:tc>
                  </w:tr>
                  <w:tr w:rsidR="00046E3E" w:rsidRPr="002C0577" w:rsidTr="002A5256">
                    <w:trPr>
                      <w:tblCellSpacing w:w="0" w:type="dxa"/>
                    </w:trPr>
                    <w:tc>
                      <w:tcPr>
                        <w:tcW w:w="9360" w:type="dxa"/>
                        <w:vAlign w:val="center"/>
                      </w:tcPr>
                      <w:p w:rsidR="00046E3E" w:rsidRPr="002C0577" w:rsidRDefault="00046E3E" w:rsidP="002C0577">
                        <w:pPr>
                          <w:pStyle w:val="NormalWeb"/>
                          <w:spacing w:line="360" w:lineRule="auto"/>
                          <w:jc w:val="both"/>
                          <w:rPr>
                            <w:rFonts w:ascii="Times New Roman" w:hAnsi="Times New Roman" w:cs="Times New Roman"/>
                            <w:color w:val="auto"/>
                            <w:sz w:val="24"/>
                          </w:rPr>
                        </w:pPr>
                      </w:p>
                    </w:tc>
                  </w:tr>
                  <w:tr w:rsidR="00046E3E" w:rsidRPr="002C0577" w:rsidTr="002A5256">
                    <w:trPr>
                      <w:tblCellSpacing w:w="0" w:type="dxa"/>
                    </w:trPr>
                    <w:tc>
                      <w:tcPr>
                        <w:tcW w:w="9360" w:type="dxa"/>
                        <w:vAlign w:val="center"/>
                      </w:tcPr>
                      <w:p w:rsidR="00046E3E" w:rsidRPr="002C0577" w:rsidRDefault="00046E3E" w:rsidP="002C0577">
                        <w:pPr>
                          <w:spacing w:line="360" w:lineRule="auto"/>
                          <w:jc w:val="both"/>
                          <w:rPr>
                            <w:szCs w:val="20"/>
                          </w:rPr>
                        </w:pPr>
                      </w:p>
                    </w:tc>
                  </w:tr>
                </w:tbl>
                <w:p w:rsidR="00046E3E" w:rsidRPr="002C0577" w:rsidRDefault="00046E3E" w:rsidP="002C0577">
                  <w:pPr>
                    <w:spacing w:line="360" w:lineRule="auto"/>
                    <w:jc w:val="both"/>
                    <w:rPr>
                      <w:szCs w:val="20"/>
                    </w:rPr>
                  </w:pPr>
                </w:p>
              </w:tc>
            </w:tr>
          </w:tbl>
          <w:p w:rsidR="00046E3E" w:rsidRPr="002C0577" w:rsidRDefault="00046E3E" w:rsidP="002C0577">
            <w:pPr>
              <w:jc w:val="both"/>
              <w:rPr>
                <w:sz w:val="20"/>
                <w:szCs w:val="20"/>
              </w:rPr>
            </w:pPr>
          </w:p>
        </w:tc>
        <w:tc>
          <w:tcPr>
            <w:tcW w:w="0" w:type="auto"/>
          </w:tcPr>
          <w:p w:rsidR="00046E3E" w:rsidRPr="002C0577" w:rsidRDefault="00046E3E" w:rsidP="002C0577">
            <w:pPr>
              <w:jc w:val="both"/>
              <w:rPr>
                <w:sz w:val="20"/>
                <w:szCs w:val="20"/>
              </w:rPr>
            </w:pPr>
          </w:p>
        </w:tc>
      </w:tr>
    </w:tbl>
    <w:p w:rsidR="00383BF6" w:rsidRDefault="00383BF6" w:rsidP="002C0577">
      <w:pPr>
        <w:jc w:val="both"/>
      </w:pPr>
    </w:p>
    <w:p w:rsidR="00537BB0" w:rsidRDefault="00537BB0" w:rsidP="002C0577">
      <w:pPr>
        <w:jc w:val="both"/>
      </w:pPr>
    </w:p>
    <w:p w:rsidR="00537BB0" w:rsidRDefault="00537BB0" w:rsidP="002C0577">
      <w:pPr>
        <w:jc w:val="both"/>
      </w:pPr>
    </w:p>
    <w:p w:rsidR="00537BB0" w:rsidRDefault="00537BB0" w:rsidP="002C0577">
      <w:pPr>
        <w:jc w:val="both"/>
      </w:pPr>
    </w:p>
    <w:p w:rsidR="00537BB0" w:rsidRPr="002A5256" w:rsidRDefault="00537BB0" w:rsidP="002A5256">
      <w:pPr>
        <w:pStyle w:val="Heading1"/>
        <w:rPr>
          <w:rFonts w:ascii="Times New Roman" w:hAnsi="Times New Roman"/>
          <w:sz w:val="28"/>
        </w:rPr>
      </w:pPr>
      <w:bookmarkStart w:id="17" w:name="_Toc187545890"/>
      <w:bookmarkStart w:id="18" w:name="_Toc187546161"/>
      <w:r w:rsidRPr="002A5256">
        <w:rPr>
          <w:rFonts w:ascii="Times New Roman" w:hAnsi="Times New Roman"/>
          <w:sz w:val="28"/>
        </w:rPr>
        <w:t>9. LITERATURA</w:t>
      </w:r>
      <w:bookmarkEnd w:id="17"/>
      <w:bookmarkEnd w:id="18"/>
    </w:p>
    <w:p w:rsidR="00537BB0" w:rsidRPr="002C0577" w:rsidRDefault="00537BB0" w:rsidP="002C0577">
      <w:pPr>
        <w:jc w:val="both"/>
      </w:pPr>
      <w:r>
        <w:t>http:/ www.mozirskigaj.si</w:t>
      </w:r>
    </w:p>
    <w:sectPr w:rsidR="00537BB0" w:rsidRPr="002C057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388" w:rsidRDefault="00681388">
      <w:r>
        <w:separator/>
      </w:r>
    </w:p>
  </w:endnote>
  <w:endnote w:type="continuationSeparator" w:id="0">
    <w:p w:rsidR="00681388" w:rsidRDefault="0068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BE9" w:rsidRDefault="00397BE9" w:rsidP="00EE6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7BE9" w:rsidRDefault="00397BE9" w:rsidP="002C05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BE9" w:rsidRDefault="00397BE9" w:rsidP="00EE6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97BE9" w:rsidRDefault="00397BE9" w:rsidP="002C05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388" w:rsidRDefault="00681388">
      <w:r>
        <w:separator/>
      </w:r>
    </w:p>
  </w:footnote>
  <w:footnote w:type="continuationSeparator" w:id="0">
    <w:p w:rsidR="00681388" w:rsidRDefault="00681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0F03"/>
    <w:multiLevelType w:val="hybridMultilevel"/>
    <w:tmpl w:val="311A2E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1600E7"/>
    <w:multiLevelType w:val="hybridMultilevel"/>
    <w:tmpl w:val="AE9289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6E3E"/>
    <w:rsid w:val="00046E3E"/>
    <w:rsid w:val="00214801"/>
    <w:rsid w:val="00235D00"/>
    <w:rsid w:val="002A5256"/>
    <w:rsid w:val="002C0577"/>
    <w:rsid w:val="00326A4B"/>
    <w:rsid w:val="00344C26"/>
    <w:rsid w:val="00383BF6"/>
    <w:rsid w:val="00397BE9"/>
    <w:rsid w:val="00537BB0"/>
    <w:rsid w:val="005D2984"/>
    <w:rsid w:val="006116BA"/>
    <w:rsid w:val="006318CB"/>
    <w:rsid w:val="00650397"/>
    <w:rsid w:val="00681388"/>
    <w:rsid w:val="006A2C1C"/>
    <w:rsid w:val="006D34E0"/>
    <w:rsid w:val="00716852"/>
    <w:rsid w:val="008C5792"/>
    <w:rsid w:val="00943605"/>
    <w:rsid w:val="0095069B"/>
    <w:rsid w:val="00AB0D55"/>
    <w:rsid w:val="00AD03AE"/>
    <w:rsid w:val="00B34F72"/>
    <w:rsid w:val="00C1133E"/>
    <w:rsid w:val="00D43F6B"/>
    <w:rsid w:val="00DB211D"/>
    <w:rsid w:val="00EB52F2"/>
    <w:rsid w:val="00EE6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A525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6E3E"/>
    <w:rPr>
      <w:rFonts w:ascii="Arial" w:hAnsi="Arial" w:cs="Arial" w:hint="default"/>
      <w:b/>
      <w:bCs/>
      <w:strike w:val="0"/>
      <w:dstrike w:val="0"/>
      <w:color w:val="AA0000"/>
      <w:sz w:val="20"/>
      <w:szCs w:val="20"/>
      <w:u w:val="none"/>
      <w:effect w:val="none"/>
    </w:rPr>
  </w:style>
  <w:style w:type="paragraph" w:styleId="NormalWeb">
    <w:name w:val="Normal (Web)"/>
    <w:basedOn w:val="Normal"/>
    <w:rsid w:val="00046E3E"/>
    <w:pPr>
      <w:spacing w:before="100" w:beforeAutospacing="1" w:after="100" w:afterAutospacing="1"/>
    </w:pPr>
    <w:rPr>
      <w:rFonts w:ascii="Arial" w:hAnsi="Arial" w:cs="Arial"/>
      <w:color w:val="990000"/>
      <w:sz w:val="20"/>
      <w:szCs w:val="20"/>
    </w:rPr>
  </w:style>
  <w:style w:type="paragraph" w:styleId="Footer">
    <w:name w:val="footer"/>
    <w:basedOn w:val="Normal"/>
    <w:rsid w:val="002C0577"/>
    <w:pPr>
      <w:tabs>
        <w:tab w:val="center" w:pos="4536"/>
        <w:tab w:val="right" w:pos="9072"/>
      </w:tabs>
    </w:pPr>
  </w:style>
  <w:style w:type="character" w:styleId="PageNumber">
    <w:name w:val="page number"/>
    <w:basedOn w:val="DefaultParagraphFont"/>
    <w:rsid w:val="002C0577"/>
  </w:style>
  <w:style w:type="character" w:customStyle="1" w:styleId="Heading1Char">
    <w:name w:val="Heading 1 Char"/>
    <w:link w:val="Heading1"/>
    <w:rsid w:val="002A5256"/>
    <w:rPr>
      <w:rFonts w:ascii="Arial" w:hAnsi="Arial" w:cs="Arial"/>
      <w:b/>
      <w:bCs/>
      <w:kern w:val="32"/>
      <w:sz w:val="32"/>
      <w:szCs w:val="32"/>
      <w:lang w:val="sl-SI" w:eastAsia="sl-SI" w:bidi="ar-SA"/>
    </w:rPr>
  </w:style>
  <w:style w:type="paragraph" w:styleId="TOC1">
    <w:name w:val="toc 1"/>
    <w:basedOn w:val="Normal"/>
    <w:next w:val="Normal"/>
    <w:autoRedefine/>
    <w:semiHidden/>
    <w:rsid w:val="00397BE9"/>
    <w:pPr>
      <w:tabs>
        <w:tab w:val="right" w:leader="dot" w:pos="9062"/>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8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10081</Characters>
  <Application>Microsoft Office Word</Application>
  <DocSecurity>0</DocSecurity>
  <Lines>84</Lines>
  <Paragraphs>23</Paragraphs>
  <ScaleCrop>false</ScaleCrop>
  <Company/>
  <LinksUpToDate>false</LinksUpToDate>
  <CharactersWithSpaces>11826</CharactersWithSpaces>
  <SharedDoc>false</SharedDoc>
  <HLinks>
    <vt:vector size="54" baseType="variant">
      <vt:variant>
        <vt:i4>1703987</vt:i4>
      </vt:variant>
      <vt:variant>
        <vt:i4>47</vt:i4>
      </vt:variant>
      <vt:variant>
        <vt:i4>0</vt:i4>
      </vt:variant>
      <vt:variant>
        <vt:i4>5</vt:i4>
      </vt:variant>
      <vt:variant>
        <vt:lpwstr/>
      </vt:variant>
      <vt:variant>
        <vt:lpwstr>_Toc187546161</vt:lpwstr>
      </vt:variant>
      <vt:variant>
        <vt:i4>1703987</vt:i4>
      </vt:variant>
      <vt:variant>
        <vt:i4>41</vt:i4>
      </vt:variant>
      <vt:variant>
        <vt:i4>0</vt:i4>
      </vt:variant>
      <vt:variant>
        <vt:i4>5</vt:i4>
      </vt:variant>
      <vt:variant>
        <vt:lpwstr/>
      </vt:variant>
      <vt:variant>
        <vt:lpwstr>_Toc187546160</vt:lpwstr>
      </vt:variant>
      <vt:variant>
        <vt:i4>1638451</vt:i4>
      </vt:variant>
      <vt:variant>
        <vt:i4>35</vt:i4>
      </vt:variant>
      <vt:variant>
        <vt:i4>0</vt:i4>
      </vt:variant>
      <vt:variant>
        <vt:i4>5</vt:i4>
      </vt:variant>
      <vt:variant>
        <vt:lpwstr/>
      </vt:variant>
      <vt:variant>
        <vt:lpwstr>_Toc187546159</vt:lpwstr>
      </vt:variant>
      <vt:variant>
        <vt:i4>1638451</vt:i4>
      </vt:variant>
      <vt:variant>
        <vt:i4>29</vt:i4>
      </vt:variant>
      <vt:variant>
        <vt:i4>0</vt:i4>
      </vt:variant>
      <vt:variant>
        <vt:i4>5</vt:i4>
      </vt:variant>
      <vt:variant>
        <vt:lpwstr/>
      </vt:variant>
      <vt:variant>
        <vt:lpwstr>_Toc187546158</vt:lpwstr>
      </vt:variant>
      <vt:variant>
        <vt:i4>1638451</vt:i4>
      </vt:variant>
      <vt:variant>
        <vt:i4>23</vt:i4>
      </vt:variant>
      <vt:variant>
        <vt:i4>0</vt:i4>
      </vt:variant>
      <vt:variant>
        <vt:i4>5</vt:i4>
      </vt:variant>
      <vt:variant>
        <vt:lpwstr/>
      </vt:variant>
      <vt:variant>
        <vt:lpwstr>_Toc187546157</vt:lpwstr>
      </vt:variant>
      <vt:variant>
        <vt:i4>1638451</vt:i4>
      </vt:variant>
      <vt:variant>
        <vt:i4>17</vt:i4>
      </vt:variant>
      <vt:variant>
        <vt:i4>0</vt:i4>
      </vt:variant>
      <vt:variant>
        <vt:i4>5</vt:i4>
      </vt:variant>
      <vt:variant>
        <vt:lpwstr/>
      </vt:variant>
      <vt:variant>
        <vt:lpwstr>_Toc187546156</vt:lpwstr>
      </vt:variant>
      <vt:variant>
        <vt:i4>1638451</vt:i4>
      </vt:variant>
      <vt:variant>
        <vt:i4>11</vt:i4>
      </vt:variant>
      <vt:variant>
        <vt:i4>0</vt:i4>
      </vt:variant>
      <vt:variant>
        <vt:i4>5</vt:i4>
      </vt:variant>
      <vt:variant>
        <vt:lpwstr/>
      </vt:variant>
      <vt:variant>
        <vt:lpwstr>_Toc187546155</vt:lpwstr>
      </vt:variant>
      <vt:variant>
        <vt:i4>1638451</vt:i4>
      </vt:variant>
      <vt:variant>
        <vt:i4>5</vt:i4>
      </vt:variant>
      <vt:variant>
        <vt:i4>0</vt:i4>
      </vt:variant>
      <vt:variant>
        <vt:i4>5</vt:i4>
      </vt:variant>
      <vt:variant>
        <vt:lpwstr/>
      </vt:variant>
      <vt:variant>
        <vt:lpwstr>_Toc187546154</vt:lpwstr>
      </vt:variant>
      <vt:variant>
        <vt:i4>1638451</vt:i4>
      </vt:variant>
      <vt:variant>
        <vt:i4>2</vt:i4>
      </vt:variant>
      <vt:variant>
        <vt:i4>0</vt:i4>
      </vt:variant>
      <vt:variant>
        <vt:i4>5</vt:i4>
      </vt:variant>
      <vt:variant>
        <vt:lpwstr/>
      </vt:variant>
      <vt:variant>
        <vt:lpwstr>_Toc187546153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