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2F" w:rsidRDefault="003B4B10">
      <w:pPr>
        <w:rPr>
          <w:rFonts w:ascii="Tahoma" w:hAnsi="Tahoma"/>
          <w:sz w:val="28"/>
        </w:rPr>
      </w:pPr>
      <w:bookmarkStart w:id="0" w:name="_GoBack"/>
      <w:bookmarkEnd w:id="0"/>
      <w:r>
        <w:rPr>
          <w:rFonts w:ascii="Tahoma" w:hAnsi="Tahoma"/>
          <w:sz w:val="28"/>
        </w:rPr>
        <w:t>2. Razvoj prebivalstva v naselju Dolnja Košana v občini Pivka</w:t>
      </w:r>
    </w:p>
    <w:p w:rsidR="00D07E2F" w:rsidRDefault="00D07E2F"/>
    <w:p w:rsidR="00D07E2F" w:rsidRDefault="003B4B10">
      <w:pPr>
        <w:numPr>
          <w:ilvl w:val="0"/>
          <w:numId w:val="1"/>
        </w:numPr>
        <w:rPr>
          <w:sz w:val="24"/>
        </w:rPr>
      </w:pPr>
      <w:r>
        <w:rPr>
          <w:sz w:val="24"/>
        </w:rPr>
        <w:t xml:space="preserve">Lega in velikost: Dolnja Košana je gručasto središčno naselje v Košanski dolini. Leži vzhodno od Košanskega hriba (589m) v razširjenem in nekoliko višjem delu doline med Neverkami in Gornjo Košano. Pod vasjo teče hudournik Farjevec, levi pritok potoka Sušice. Je srednje velika vas. </w:t>
      </w:r>
    </w:p>
    <w:p w:rsidR="00D07E2F" w:rsidRDefault="003B4B10">
      <w:pPr>
        <w:numPr>
          <w:ilvl w:val="0"/>
          <w:numId w:val="1"/>
        </w:numPr>
        <w:rPr>
          <w:sz w:val="24"/>
        </w:rPr>
      </w:pPr>
      <w:r>
        <w:rPr>
          <w:sz w:val="24"/>
        </w:rPr>
        <w:t>Funkcije v prostoru: Ima avtobusno in železniško postajo, ima osem letno osnovno šolo, trgovino s prehrano in gostilno. Ima prečudovito cerkev z na novo urejenim pokopališčem.</w:t>
      </w:r>
    </w:p>
    <w:p w:rsidR="00D07E2F" w:rsidRDefault="003B4B10">
      <w:pPr>
        <w:numPr>
          <w:ilvl w:val="0"/>
          <w:numId w:val="2"/>
        </w:numPr>
        <w:tabs>
          <w:tab w:val="clear" w:pos="360"/>
        </w:tabs>
        <w:ind w:left="405" w:hanging="405"/>
        <w:rPr>
          <w:sz w:val="24"/>
        </w:rPr>
      </w:pPr>
      <w:r>
        <w:rPr>
          <w:sz w:val="24"/>
        </w:rPr>
        <w:t>Tabela 3: Verižni indeks rasti (Vir: Krajevni leksikon Slovenije in Statistični urad RS)</w:t>
      </w:r>
    </w:p>
    <w:tbl>
      <w:tblPr>
        <w:tblW w:w="0" w:type="auto"/>
        <w:tblLayout w:type="fixed"/>
        <w:tblCellMar>
          <w:left w:w="30" w:type="dxa"/>
          <w:right w:w="30" w:type="dxa"/>
        </w:tblCellMar>
        <w:tblLook w:val="0000" w:firstRow="0" w:lastRow="0" w:firstColumn="0" w:lastColumn="0" w:noHBand="0" w:noVBand="0"/>
      </w:tblPr>
      <w:tblGrid>
        <w:gridCol w:w="1"/>
        <w:gridCol w:w="1023"/>
        <w:gridCol w:w="2336"/>
        <w:gridCol w:w="2272"/>
      </w:tblGrid>
      <w:tr w:rsidR="00D07E2F">
        <w:trPr>
          <w:trHeight w:val="344"/>
        </w:trPr>
        <w:tc>
          <w:tcPr>
            <w:tcW w:w="3360" w:type="dxa"/>
            <w:hMerge w:val="restart"/>
            <w:tcBorders>
              <w:top w:val="single" w:sz="18" w:space="0" w:color="auto"/>
              <w:left w:val="single" w:sz="18" w:space="0" w:color="auto"/>
              <w:bottom w:val="single" w:sz="18" w:space="0" w:color="auto"/>
            </w:tcBorders>
            <w:shd w:val="solid" w:color="FFFF00" w:fill="auto"/>
          </w:tcPr>
          <w:p w:rsidR="00D07E2F" w:rsidRDefault="003B4B10">
            <w:pPr>
              <w:jc w:val="center"/>
              <w:rPr>
                <w:rFonts w:ascii="Arial" w:hAnsi="Arial"/>
                <w:b/>
                <w:snapToGrid w:val="0"/>
                <w:color w:val="000000"/>
                <w:sz w:val="24"/>
              </w:rPr>
            </w:pPr>
            <w:r>
              <w:rPr>
                <w:rFonts w:ascii="Arial" w:hAnsi="Arial"/>
                <w:b/>
                <w:snapToGrid w:val="0"/>
                <w:color w:val="000000"/>
                <w:sz w:val="24"/>
              </w:rPr>
              <w:t>Naselje: Dolnja Košana</w:t>
            </w:r>
          </w:p>
        </w:tc>
        <w:tc>
          <w:tcPr>
            <w:tcW w:w="0" w:type="auto"/>
            <w:gridSpan w:val="2"/>
            <w:hMerge/>
            <w:tcBorders>
              <w:top w:val="single" w:sz="18" w:space="0" w:color="auto"/>
              <w:bottom w:val="single" w:sz="18" w:space="0" w:color="auto"/>
            </w:tcBorders>
            <w:shd w:val="solid" w:color="FFFF00" w:fill="auto"/>
          </w:tcPr>
          <w:p w:rsidR="00D07E2F" w:rsidRDefault="00D07E2F">
            <w:pPr>
              <w:jc w:val="center"/>
              <w:rPr>
                <w:rFonts w:ascii="Arial" w:hAnsi="Arial"/>
                <w:b/>
                <w:snapToGrid w:val="0"/>
                <w:color w:val="000000"/>
                <w:sz w:val="24"/>
              </w:rPr>
            </w:pPr>
          </w:p>
        </w:tc>
        <w:tc>
          <w:tcPr>
            <w:tcW w:w="2272" w:type="dxa"/>
            <w:tcBorders>
              <w:top w:val="single" w:sz="18" w:space="0" w:color="auto"/>
              <w:bottom w:val="single" w:sz="18" w:space="0" w:color="auto"/>
              <w:right w:val="single" w:sz="18" w:space="0" w:color="auto"/>
            </w:tcBorders>
            <w:shd w:val="solid" w:color="FFFF00" w:fill="auto"/>
          </w:tcPr>
          <w:p w:rsidR="00D07E2F" w:rsidRDefault="00D07E2F">
            <w:pPr>
              <w:jc w:val="center"/>
              <w:rPr>
                <w:rFonts w:ascii="Arial" w:hAnsi="Arial"/>
                <w:b/>
                <w:snapToGrid w:val="0"/>
                <w:color w:val="000000"/>
                <w:sz w:val="24"/>
              </w:rPr>
            </w:pPr>
          </w:p>
        </w:tc>
      </w:tr>
      <w:tr w:rsidR="00D07E2F">
        <w:trPr>
          <w:trHeight w:val="328"/>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rPr>
                <w:rFonts w:ascii="Arial" w:hAnsi="Arial"/>
                <w:b/>
                <w:snapToGrid w:val="0"/>
                <w:color w:val="000000"/>
                <w:sz w:val="22"/>
              </w:rPr>
            </w:pPr>
            <w:r>
              <w:rPr>
                <w:rFonts w:ascii="Arial" w:hAnsi="Arial"/>
                <w:b/>
                <w:snapToGrid w:val="0"/>
                <w:color w:val="000000"/>
                <w:sz w:val="22"/>
              </w:rPr>
              <w:t>Leto</w:t>
            </w:r>
          </w:p>
        </w:tc>
        <w:tc>
          <w:tcPr>
            <w:tcW w:w="2336" w:type="dxa"/>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rPr>
                <w:rFonts w:ascii="Arial" w:hAnsi="Arial"/>
                <w:b/>
                <w:snapToGrid w:val="0"/>
                <w:color w:val="000000"/>
                <w:sz w:val="22"/>
              </w:rPr>
            </w:pPr>
            <w:r>
              <w:rPr>
                <w:rFonts w:ascii="Arial" w:hAnsi="Arial"/>
                <w:b/>
                <w:snapToGrid w:val="0"/>
                <w:color w:val="000000"/>
                <w:sz w:val="22"/>
              </w:rPr>
              <w:t>Število Prebivalcev</w:t>
            </w:r>
          </w:p>
        </w:tc>
        <w:tc>
          <w:tcPr>
            <w:tcW w:w="2272" w:type="dxa"/>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rPr>
                <w:rFonts w:ascii="Arial" w:hAnsi="Arial"/>
                <w:b/>
                <w:snapToGrid w:val="0"/>
                <w:color w:val="000000"/>
                <w:sz w:val="22"/>
              </w:rPr>
            </w:pPr>
            <w:r>
              <w:rPr>
                <w:rFonts w:ascii="Arial" w:hAnsi="Arial"/>
                <w:b/>
                <w:snapToGrid w:val="0"/>
                <w:color w:val="000000"/>
                <w:sz w:val="22"/>
              </w:rPr>
              <w:t>Verižni indeks rasti</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1869</w:t>
            </w:r>
          </w:p>
        </w:tc>
        <w:tc>
          <w:tcPr>
            <w:tcW w:w="2336" w:type="dxa"/>
            <w:tcBorders>
              <w:top w:val="single" w:sz="18"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206</w:t>
            </w:r>
          </w:p>
        </w:tc>
        <w:tc>
          <w:tcPr>
            <w:tcW w:w="2272" w:type="dxa"/>
            <w:tcBorders>
              <w:top w:val="single" w:sz="18"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snapToGrid w:val="0"/>
                <w:color w:val="000000"/>
              </w:rPr>
              <w:t>-----------</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1900</w:t>
            </w:r>
          </w:p>
        </w:tc>
        <w:tc>
          <w:tcPr>
            <w:tcW w:w="2336" w:type="dxa"/>
            <w:tcBorders>
              <w:top w:val="single" w:sz="6"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255</w:t>
            </w:r>
          </w:p>
        </w:tc>
        <w:tc>
          <w:tcPr>
            <w:tcW w:w="2272" w:type="dxa"/>
            <w:tcBorders>
              <w:top w:val="single" w:sz="6"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1900/1869</w:t>
            </w:r>
            <w:r>
              <w:rPr>
                <w:rFonts w:ascii="Arial" w:hAnsi="Arial"/>
                <w:snapToGrid w:val="0"/>
                <w:color w:val="000000"/>
                <w:sz w:val="18"/>
              </w:rPr>
              <w:t xml:space="preserve"> </w:t>
            </w:r>
            <w:r>
              <w:rPr>
                <w:rFonts w:ascii="Arial" w:hAnsi="Arial"/>
                <w:snapToGrid w:val="0"/>
                <w:color w:val="000000"/>
              </w:rPr>
              <w:t>= 1,24</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1931</w:t>
            </w:r>
          </w:p>
        </w:tc>
        <w:tc>
          <w:tcPr>
            <w:tcW w:w="2336" w:type="dxa"/>
            <w:tcBorders>
              <w:top w:val="single" w:sz="6"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273</w:t>
            </w:r>
          </w:p>
        </w:tc>
        <w:tc>
          <w:tcPr>
            <w:tcW w:w="2272" w:type="dxa"/>
            <w:tcBorders>
              <w:top w:val="single" w:sz="6"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1931/1900</w:t>
            </w:r>
            <w:r>
              <w:rPr>
                <w:rFonts w:ascii="Arial" w:hAnsi="Arial"/>
                <w:snapToGrid w:val="0"/>
                <w:color w:val="000000"/>
              </w:rPr>
              <w:t xml:space="preserve"> = 1,07</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1961</w:t>
            </w:r>
          </w:p>
        </w:tc>
        <w:tc>
          <w:tcPr>
            <w:tcW w:w="2336" w:type="dxa"/>
            <w:tcBorders>
              <w:top w:val="single" w:sz="6"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282</w:t>
            </w:r>
          </w:p>
        </w:tc>
        <w:tc>
          <w:tcPr>
            <w:tcW w:w="2272" w:type="dxa"/>
            <w:tcBorders>
              <w:top w:val="single" w:sz="6"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1961/1931</w:t>
            </w:r>
            <w:r>
              <w:rPr>
                <w:rFonts w:ascii="Arial" w:hAnsi="Arial"/>
                <w:snapToGrid w:val="0"/>
                <w:color w:val="000000"/>
              </w:rPr>
              <w:t xml:space="preserve"> = 1,03</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1971</w:t>
            </w:r>
          </w:p>
        </w:tc>
        <w:tc>
          <w:tcPr>
            <w:tcW w:w="2336" w:type="dxa"/>
            <w:tcBorders>
              <w:top w:val="single" w:sz="6"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267</w:t>
            </w:r>
          </w:p>
        </w:tc>
        <w:tc>
          <w:tcPr>
            <w:tcW w:w="2272" w:type="dxa"/>
            <w:tcBorders>
              <w:top w:val="single" w:sz="6"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1971/1961</w:t>
            </w:r>
            <w:r>
              <w:rPr>
                <w:rFonts w:ascii="Arial" w:hAnsi="Arial"/>
                <w:snapToGrid w:val="0"/>
                <w:color w:val="000000"/>
              </w:rPr>
              <w:t xml:space="preserve"> = 0,95</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1981</w:t>
            </w:r>
          </w:p>
        </w:tc>
        <w:tc>
          <w:tcPr>
            <w:tcW w:w="2336" w:type="dxa"/>
            <w:tcBorders>
              <w:top w:val="single" w:sz="6"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308</w:t>
            </w:r>
          </w:p>
        </w:tc>
        <w:tc>
          <w:tcPr>
            <w:tcW w:w="2272" w:type="dxa"/>
            <w:tcBorders>
              <w:top w:val="single" w:sz="6"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1981/1971</w:t>
            </w:r>
            <w:r>
              <w:rPr>
                <w:rFonts w:ascii="Arial" w:hAnsi="Arial"/>
                <w:snapToGrid w:val="0"/>
                <w:color w:val="000000"/>
              </w:rPr>
              <w:t xml:space="preserve"> = 1,15</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1991</w:t>
            </w:r>
          </w:p>
        </w:tc>
        <w:tc>
          <w:tcPr>
            <w:tcW w:w="2336" w:type="dxa"/>
            <w:tcBorders>
              <w:top w:val="single" w:sz="6"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386</w:t>
            </w:r>
          </w:p>
        </w:tc>
        <w:tc>
          <w:tcPr>
            <w:tcW w:w="2272" w:type="dxa"/>
            <w:tcBorders>
              <w:top w:val="single" w:sz="6"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1991/1981</w:t>
            </w:r>
            <w:r>
              <w:rPr>
                <w:rFonts w:ascii="Arial" w:hAnsi="Arial"/>
                <w:snapToGrid w:val="0"/>
                <w:color w:val="000000"/>
              </w:rPr>
              <w:t xml:space="preserve"> = 1,25</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2000</w:t>
            </w:r>
          </w:p>
        </w:tc>
        <w:tc>
          <w:tcPr>
            <w:tcW w:w="2336" w:type="dxa"/>
            <w:tcBorders>
              <w:top w:val="single" w:sz="6" w:space="0" w:color="auto"/>
              <w:left w:val="single" w:sz="18" w:space="0" w:color="auto"/>
              <w:bottom w:val="single" w:sz="6"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376</w:t>
            </w:r>
          </w:p>
        </w:tc>
        <w:tc>
          <w:tcPr>
            <w:tcW w:w="2272" w:type="dxa"/>
            <w:tcBorders>
              <w:top w:val="single" w:sz="6" w:space="0" w:color="auto"/>
              <w:left w:val="single" w:sz="12" w:space="0" w:color="auto"/>
              <w:bottom w:val="single" w:sz="6"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2000/1991</w:t>
            </w:r>
            <w:r>
              <w:rPr>
                <w:rFonts w:ascii="Arial" w:hAnsi="Arial"/>
                <w:snapToGrid w:val="0"/>
                <w:color w:val="000000"/>
              </w:rPr>
              <w:t xml:space="preserve"> = 0,97</w:t>
            </w:r>
          </w:p>
        </w:tc>
      </w:tr>
      <w:tr w:rsidR="00D07E2F">
        <w:trPr>
          <w:trHeight w:val="284"/>
        </w:trPr>
        <w:tc>
          <w:tcPr>
            <w:tcW w:w="1024" w:type="dxa"/>
            <w:gridSpan w:val="2"/>
            <w:tcBorders>
              <w:top w:val="single" w:sz="18" w:space="0" w:color="auto"/>
              <w:left w:val="single" w:sz="18" w:space="0" w:color="auto"/>
              <w:bottom w:val="single" w:sz="18" w:space="0" w:color="auto"/>
              <w:right w:val="single" w:sz="18" w:space="0" w:color="auto"/>
            </w:tcBorders>
            <w:shd w:val="solid" w:color="00FF00" w:fill="auto"/>
          </w:tcPr>
          <w:p w:rsidR="00D07E2F" w:rsidRDefault="003B4B10">
            <w:pPr>
              <w:jc w:val="center"/>
              <w:rPr>
                <w:rFonts w:ascii="Arial" w:hAnsi="Arial"/>
                <w:b/>
                <w:snapToGrid w:val="0"/>
                <w:color w:val="000000"/>
              </w:rPr>
            </w:pPr>
            <w:r>
              <w:rPr>
                <w:rFonts w:ascii="Arial" w:hAnsi="Arial"/>
                <w:b/>
                <w:snapToGrid w:val="0"/>
                <w:color w:val="000000"/>
              </w:rPr>
              <w:t>2006</w:t>
            </w:r>
          </w:p>
        </w:tc>
        <w:tc>
          <w:tcPr>
            <w:tcW w:w="2336" w:type="dxa"/>
            <w:tcBorders>
              <w:top w:val="single" w:sz="6" w:space="0" w:color="auto"/>
              <w:left w:val="single" w:sz="18" w:space="0" w:color="auto"/>
              <w:bottom w:val="single" w:sz="12" w:space="0" w:color="auto"/>
              <w:right w:val="single" w:sz="12"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360</w:t>
            </w:r>
          </w:p>
        </w:tc>
        <w:tc>
          <w:tcPr>
            <w:tcW w:w="2272" w:type="dxa"/>
            <w:tcBorders>
              <w:top w:val="single" w:sz="6" w:space="0" w:color="auto"/>
              <w:left w:val="single" w:sz="12" w:space="0" w:color="auto"/>
              <w:bottom w:val="single" w:sz="12" w:space="0" w:color="auto"/>
              <w:right w:val="single" w:sz="12" w:space="0" w:color="auto"/>
            </w:tcBorders>
            <w:shd w:val="solid" w:color="00FFFF" w:fill="auto"/>
          </w:tcPr>
          <w:p w:rsidR="00D07E2F" w:rsidRDefault="003B4B10">
            <w:pPr>
              <w:rPr>
                <w:rFonts w:ascii="Arial" w:hAnsi="Arial"/>
                <w:snapToGrid w:val="0"/>
                <w:color w:val="000000"/>
              </w:rPr>
            </w:pPr>
            <w:r>
              <w:rPr>
                <w:rFonts w:ascii="Arial" w:hAnsi="Arial"/>
                <w:b/>
                <w:snapToGrid w:val="0"/>
                <w:color w:val="000000"/>
              </w:rPr>
              <w:t>I</w:t>
            </w:r>
            <w:r>
              <w:rPr>
                <w:rFonts w:ascii="Arial" w:hAnsi="Arial"/>
                <w:snapToGrid w:val="0"/>
                <w:color w:val="000000"/>
              </w:rPr>
              <w:t xml:space="preserve"> </w:t>
            </w:r>
            <w:r>
              <w:rPr>
                <w:rFonts w:ascii="Arial" w:hAnsi="Arial"/>
                <w:snapToGrid w:val="0"/>
                <w:color w:val="000000"/>
                <w:sz w:val="16"/>
              </w:rPr>
              <w:t>2006/2000</w:t>
            </w:r>
            <w:r>
              <w:rPr>
                <w:rFonts w:ascii="Arial" w:hAnsi="Arial"/>
                <w:snapToGrid w:val="0"/>
                <w:color w:val="000000"/>
              </w:rPr>
              <w:t xml:space="preserve"> = 0,96</w:t>
            </w:r>
          </w:p>
        </w:tc>
      </w:tr>
    </w:tbl>
    <w:p w:rsidR="00D07E2F" w:rsidRDefault="00D07E2F">
      <w:pPr>
        <w:rPr>
          <w:sz w:val="24"/>
        </w:rPr>
      </w:pPr>
    </w:p>
    <w:p w:rsidR="00D07E2F" w:rsidRDefault="003B4B10">
      <w:pPr>
        <w:numPr>
          <w:ilvl w:val="0"/>
          <w:numId w:val="2"/>
        </w:numPr>
        <w:tabs>
          <w:tab w:val="clear" w:pos="360"/>
          <w:tab w:val="num" w:pos="405"/>
        </w:tabs>
        <w:ind w:left="405" w:hanging="405"/>
        <w:rPr>
          <w:sz w:val="24"/>
        </w:rPr>
      </w:pPr>
      <w:r>
        <w:rPr>
          <w:sz w:val="24"/>
        </w:rPr>
        <w:t>Grafikon 1: Rast števila prebivalcev (Vir: Krajevni leksikon Slovenije in Statistični urad RS)</w:t>
      </w:r>
    </w:p>
    <w:p w:rsidR="00D07E2F" w:rsidRDefault="00660ECE">
      <w:pPr>
        <w:rPr>
          <w:sz w:val="24"/>
        </w:rPr>
      </w:pPr>
      <w:r>
        <w:object w:dxaOrig="98" w:dyaOrig="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46.2pt;height:245.2pt;z-index:251657728;mso-position-horizontal:absolute;mso-position-horizontal-relative:text;mso-position-vertical:absolute;mso-position-vertical-relative:text" o:allowincell="f">
            <v:imagedata r:id="rId5" o:title=""/>
            <w10:wrap type="topAndBottom"/>
          </v:shape>
          <o:OLEObject Type="Embed" ProgID="Excel.Sheet.8" ShapeID="_x0000_s1027" DrawAspect="Content" ObjectID="_1618046150" r:id="rId6"/>
        </w:object>
      </w:r>
    </w:p>
    <w:p w:rsidR="00D07E2F" w:rsidRDefault="003B4B10">
      <w:pPr>
        <w:numPr>
          <w:ilvl w:val="0"/>
          <w:numId w:val="2"/>
        </w:numPr>
        <w:tabs>
          <w:tab w:val="clear" w:pos="360"/>
          <w:tab w:val="num" w:pos="405"/>
        </w:tabs>
        <w:ind w:left="405" w:hanging="405"/>
        <w:rPr>
          <w:sz w:val="24"/>
        </w:rPr>
      </w:pPr>
      <w:r>
        <w:rPr>
          <w:sz w:val="24"/>
        </w:rPr>
        <w:t xml:space="preserve">Razvoj prebivalstva:  V Dolnji Košani se število prebivalcev vrti okrog istih številk. Število ljudi se skozi leta ni veliko spreminjalo. Dolnja Košana je skozi zgodovino imela glavno cerkev (glavna fara) in zato je št. ljudi v teh krajih približno enako. Malce večji porast vidimo le iz let 1971-81 zaradi izgradnje novih blokov, ki so omogočili nove </w:t>
      </w:r>
      <w:r>
        <w:rPr>
          <w:sz w:val="24"/>
        </w:rPr>
        <w:lastRenderedPageBreak/>
        <w:t>bivalne prostore. Večji porast prebivalcev je tudi opazen iz let 1981-91, saj je takrat prišlo do porasta novih gradenj- hiš (»predmestje« Dolnje Košane).</w:t>
      </w:r>
    </w:p>
    <w:p w:rsidR="00D07E2F" w:rsidRDefault="003B4B10">
      <w:pPr>
        <w:numPr>
          <w:ilvl w:val="0"/>
          <w:numId w:val="2"/>
        </w:numPr>
        <w:tabs>
          <w:tab w:val="clear" w:pos="360"/>
          <w:tab w:val="num" w:pos="405"/>
        </w:tabs>
        <w:ind w:left="405" w:hanging="405"/>
        <w:rPr>
          <w:sz w:val="24"/>
        </w:rPr>
      </w:pPr>
      <w:r>
        <w:rPr>
          <w:sz w:val="24"/>
        </w:rPr>
        <w:t>Če primerjamo s teorijo demografskega prehoda, glede na rast št. prebivalstva ta sovpada z njo. Št. ljudi počasi narašča skozi 3 faze in pri 4 fazi počasi upočasni rast in se obrne (krivulja) navzdol.</w:t>
      </w:r>
    </w:p>
    <w:p w:rsidR="00D07E2F" w:rsidRDefault="003B4B10">
      <w:pPr>
        <w:numPr>
          <w:ilvl w:val="0"/>
          <w:numId w:val="2"/>
        </w:numPr>
        <w:tabs>
          <w:tab w:val="clear" w:pos="360"/>
          <w:tab w:val="num" w:pos="405"/>
        </w:tabs>
        <w:ind w:left="405" w:hanging="405"/>
        <w:rPr>
          <w:sz w:val="24"/>
        </w:rPr>
      </w:pPr>
      <w:r>
        <w:rPr>
          <w:sz w:val="24"/>
        </w:rPr>
        <w:t xml:space="preserve">Dolnjo Košano bi uvrstila do leta 1991 v </w:t>
      </w:r>
      <w:r>
        <w:rPr>
          <w:i/>
          <w:sz w:val="24"/>
        </w:rPr>
        <w:t>območje</w:t>
      </w:r>
      <w:r>
        <w:rPr>
          <w:sz w:val="24"/>
        </w:rPr>
        <w:t xml:space="preserve"> </w:t>
      </w:r>
      <w:r>
        <w:rPr>
          <w:i/>
          <w:sz w:val="24"/>
        </w:rPr>
        <w:t>koncentracije</w:t>
      </w:r>
      <w:r>
        <w:rPr>
          <w:sz w:val="24"/>
        </w:rPr>
        <w:t xml:space="preserve"> prebivalstva, po letu 1991 pa v </w:t>
      </w:r>
      <w:r>
        <w:rPr>
          <w:i/>
          <w:sz w:val="24"/>
        </w:rPr>
        <w:t>območje</w:t>
      </w:r>
      <w:r>
        <w:rPr>
          <w:sz w:val="24"/>
        </w:rPr>
        <w:t xml:space="preserve"> </w:t>
      </w:r>
      <w:r>
        <w:rPr>
          <w:i/>
          <w:sz w:val="24"/>
        </w:rPr>
        <w:t>stagnacije</w:t>
      </w:r>
      <w:r>
        <w:rPr>
          <w:sz w:val="24"/>
        </w:rPr>
        <w:t xml:space="preserve">, saj ne pride do nobenega večjega gibanja glede na št. prebivalcev. </w:t>
      </w:r>
    </w:p>
    <w:p w:rsidR="00D07E2F" w:rsidRDefault="003B4B10">
      <w:pPr>
        <w:numPr>
          <w:ilvl w:val="0"/>
          <w:numId w:val="5"/>
        </w:numPr>
        <w:rPr>
          <w:sz w:val="24"/>
        </w:rPr>
      </w:pPr>
      <w:r>
        <w:rPr>
          <w:sz w:val="24"/>
        </w:rPr>
        <w:t>Tabela 4: Prebivalstvo Dolnje Košane po starosti in spolu v letu 2006. (Vir: Statistični urad Republike Slovenije)</w:t>
      </w:r>
    </w:p>
    <w:tbl>
      <w:tblPr>
        <w:tblW w:w="0" w:type="auto"/>
        <w:tblLayout w:type="fixed"/>
        <w:tblCellMar>
          <w:left w:w="30" w:type="dxa"/>
          <w:right w:w="30" w:type="dxa"/>
        </w:tblCellMar>
        <w:tblLook w:val="0000" w:firstRow="0" w:lastRow="0" w:firstColumn="0" w:lastColumn="0" w:noHBand="0" w:noVBand="0"/>
      </w:tblPr>
      <w:tblGrid>
        <w:gridCol w:w="1888"/>
        <w:gridCol w:w="1024"/>
        <w:gridCol w:w="1184"/>
        <w:gridCol w:w="1024"/>
        <w:gridCol w:w="1088"/>
        <w:gridCol w:w="1024"/>
        <w:gridCol w:w="1216"/>
      </w:tblGrid>
      <w:tr w:rsidR="00D07E2F">
        <w:trPr>
          <w:trHeight w:val="284"/>
        </w:trPr>
        <w:tc>
          <w:tcPr>
            <w:tcW w:w="1888" w:type="dxa"/>
            <w:tcBorders>
              <w:top w:val="single" w:sz="18" w:space="0" w:color="auto"/>
              <w:left w:val="single" w:sz="18" w:space="0" w:color="auto"/>
              <w:bottom w:val="single" w:sz="18" w:space="0" w:color="auto"/>
              <w:right w:val="single" w:sz="18" w:space="0" w:color="auto"/>
            </w:tcBorders>
            <w:shd w:val="solid" w:color="FFFF00" w:fill="auto"/>
          </w:tcPr>
          <w:p w:rsidR="00D07E2F" w:rsidRDefault="003B4B10">
            <w:pPr>
              <w:jc w:val="center"/>
              <w:rPr>
                <w:rFonts w:ascii="Arial" w:hAnsi="Arial"/>
                <w:b/>
                <w:snapToGrid w:val="0"/>
                <w:color w:val="FF0000"/>
              </w:rPr>
            </w:pPr>
            <w:r>
              <w:rPr>
                <w:rFonts w:ascii="Arial" w:hAnsi="Arial"/>
                <w:b/>
                <w:snapToGrid w:val="0"/>
                <w:color w:val="FF0000"/>
              </w:rPr>
              <w:t>DOLNJA KOŠANA</w:t>
            </w:r>
          </w:p>
        </w:tc>
        <w:tc>
          <w:tcPr>
            <w:tcW w:w="1024" w:type="dxa"/>
            <w:tcBorders>
              <w:top w:val="single" w:sz="18" w:space="0" w:color="auto"/>
              <w:left w:val="single" w:sz="18" w:space="0" w:color="auto"/>
              <w:bottom w:val="single" w:sz="18" w:space="0" w:color="auto"/>
              <w:right w:val="single" w:sz="18" w:space="0" w:color="auto"/>
            </w:tcBorders>
            <w:shd w:val="solid" w:color="FFFF00" w:fill="auto"/>
          </w:tcPr>
          <w:p w:rsidR="00D07E2F" w:rsidRDefault="003B4B10">
            <w:pPr>
              <w:jc w:val="center"/>
              <w:rPr>
                <w:rFonts w:ascii="Arial" w:hAnsi="Arial"/>
                <w:b/>
                <w:snapToGrid w:val="0"/>
                <w:color w:val="FF0000"/>
              </w:rPr>
            </w:pPr>
            <w:r>
              <w:rPr>
                <w:rFonts w:ascii="Arial" w:hAnsi="Arial"/>
                <w:b/>
                <w:snapToGrid w:val="0"/>
                <w:color w:val="FF0000"/>
              </w:rPr>
              <w:t>Moški</w:t>
            </w:r>
          </w:p>
        </w:tc>
        <w:tc>
          <w:tcPr>
            <w:tcW w:w="1184" w:type="dxa"/>
            <w:tcBorders>
              <w:top w:val="single" w:sz="18" w:space="0" w:color="auto"/>
              <w:left w:val="single" w:sz="18" w:space="0" w:color="auto"/>
              <w:bottom w:val="single" w:sz="18" w:space="0" w:color="auto"/>
              <w:right w:val="single" w:sz="18" w:space="0" w:color="auto"/>
            </w:tcBorders>
            <w:shd w:val="solid" w:color="FFFF00" w:fill="auto"/>
          </w:tcPr>
          <w:p w:rsidR="00D07E2F" w:rsidRDefault="003B4B10">
            <w:pPr>
              <w:jc w:val="center"/>
              <w:rPr>
                <w:rFonts w:ascii="Arial" w:hAnsi="Arial"/>
                <w:b/>
                <w:snapToGrid w:val="0"/>
                <w:color w:val="FF0000"/>
              </w:rPr>
            </w:pPr>
            <w:r>
              <w:rPr>
                <w:rFonts w:ascii="Arial" w:hAnsi="Arial"/>
                <w:b/>
                <w:snapToGrid w:val="0"/>
                <w:color w:val="FF0000"/>
              </w:rPr>
              <w:t>Delež v %</w:t>
            </w:r>
          </w:p>
        </w:tc>
        <w:tc>
          <w:tcPr>
            <w:tcW w:w="1024" w:type="dxa"/>
            <w:tcBorders>
              <w:top w:val="single" w:sz="18" w:space="0" w:color="auto"/>
              <w:left w:val="single" w:sz="18" w:space="0" w:color="auto"/>
              <w:bottom w:val="single" w:sz="18" w:space="0" w:color="auto"/>
              <w:right w:val="single" w:sz="18" w:space="0" w:color="auto"/>
            </w:tcBorders>
            <w:shd w:val="solid" w:color="FFFF00" w:fill="auto"/>
          </w:tcPr>
          <w:p w:rsidR="00D07E2F" w:rsidRDefault="003B4B10">
            <w:pPr>
              <w:jc w:val="center"/>
              <w:rPr>
                <w:rFonts w:ascii="Arial" w:hAnsi="Arial"/>
                <w:b/>
                <w:snapToGrid w:val="0"/>
                <w:color w:val="FF0000"/>
              </w:rPr>
            </w:pPr>
            <w:r>
              <w:rPr>
                <w:rFonts w:ascii="Arial" w:hAnsi="Arial"/>
                <w:b/>
                <w:snapToGrid w:val="0"/>
                <w:color w:val="FF0000"/>
              </w:rPr>
              <w:t>Ženske</w:t>
            </w:r>
          </w:p>
        </w:tc>
        <w:tc>
          <w:tcPr>
            <w:tcW w:w="1088" w:type="dxa"/>
            <w:tcBorders>
              <w:top w:val="single" w:sz="18" w:space="0" w:color="auto"/>
              <w:left w:val="single" w:sz="18" w:space="0" w:color="auto"/>
              <w:bottom w:val="single" w:sz="18" w:space="0" w:color="auto"/>
              <w:right w:val="single" w:sz="18" w:space="0" w:color="auto"/>
            </w:tcBorders>
            <w:shd w:val="solid" w:color="FFFF00" w:fill="auto"/>
          </w:tcPr>
          <w:p w:rsidR="00D07E2F" w:rsidRDefault="003B4B10">
            <w:pPr>
              <w:jc w:val="center"/>
              <w:rPr>
                <w:rFonts w:ascii="Arial" w:hAnsi="Arial"/>
                <w:b/>
                <w:snapToGrid w:val="0"/>
                <w:color w:val="FF0000"/>
              </w:rPr>
            </w:pPr>
            <w:r>
              <w:rPr>
                <w:rFonts w:ascii="Arial" w:hAnsi="Arial"/>
                <w:b/>
                <w:snapToGrid w:val="0"/>
                <w:color w:val="FF0000"/>
              </w:rPr>
              <w:t>Delež v %</w:t>
            </w:r>
          </w:p>
        </w:tc>
        <w:tc>
          <w:tcPr>
            <w:tcW w:w="1024" w:type="dxa"/>
            <w:tcBorders>
              <w:top w:val="single" w:sz="18" w:space="0" w:color="auto"/>
              <w:left w:val="single" w:sz="18" w:space="0" w:color="auto"/>
              <w:bottom w:val="single" w:sz="18" w:space="0" w:color="auto"/>
              <w:right w:val="single" w:sz="18" w:space="0" w:color="auto"/>
            </w:tcBorders>
            <w:shd w:val="solid" w:color="FFFF00" w:fill="auto"/>
          </w:tcPr>
          <w:p w:rsidR="00D07E2F" w:rsidRDefault="003B4B10">
            <w:pPr>
              <w:jc w:val="center"/>
              <w:rPr>
                <w:rFonts w:ascii="Arial" w:hAnsi="Arial"/>
                <w:b/>
                <w:snapToGrid w:val="0"/>
                <w:color w:val="FF0000"/>
              </w:rPr>
            </w:pPr>
            <w:r>
              <w:rPr>
                <w:rFonts w:ascii="Arial" w:hAnsi="Arial"/>
                <w:b/>
                <w:snapToGrid w:val="0"/>
                <w:color w:val="FF0000"/>
              </w:rPr>
              <w:t>Skupaj</w:t>
            </w:r>
          </w:p>
        </w:tc>
        <w:tc>
          <w:tcPr>
            <w:tcW w:w="1216" w:type="dxa"/>
            <w:tcBorders>
              <w:top w:val="single" w:sz="18" w:space="0" w:color="auto"/>
              <w:left w:val="single" w:sz="18" w:space="0" w:color="auto"/>
              <w:bottom w:val="single" w:sz="18" w:space="0" w:color="auto"/>
              <w:right w:val="single" w:sz="18" w:space="0" w:color="auto"/>
            </w:tcBorders>
            <w:shd w:val="solid" w:color="FFFF00" w:fill="auto"/>
          </w:tcPr>
          <w:p w:rsidR="00D07E2F" w:rsidRDefault="003B4B10">
            <w:pPr>
              <w:jc w:val="center"/>
              <w:rPr>
                <w:rFonts w:ascii="Arial" w:hAnsi="Arial"/>
                <w:b/>
                <w:snapToGrid w:val="0"/>
                <w:color w:val="FF0000"/>
              </w:rPr>
            </w:pPr>
            <w:r>
              <w:rPr>
                <w:rFonts w:ascii="Arial" w:hAnsi="Arial"/>
                <w:b/>
                <w:snapToGrid w:val="0"/>
                <w:color w:val="FF0000"/>
              </w:rPr>
              <w:t>Skupaj v %</w:t>
            </w:r>
          </w:p>
        </w:tc>
      </w:tr>
      <w:tr w:rsidR="00D07E2F">
        <w:trPr>
          <w:trHeight w:val="284"/>
        </w:trPr>
        <w:tc>
          <w:tcPr>
            <w:tcW w:w="1888" w:type="dxa"/>
            <w:tcBorders>
              <w:top w:val="single" w:sz="18" w:space="0" w:color="auto"/>
              <w:left w:val="single" w:sz="12" w:space="0" w:color="auto"/>
              <w:bottom w:val="single" w:sz="12" w:space="0" w:color="auto"/>
              <w:right w:val="single" w:sz="12" w:space="0" w:color="auto"/>
            </w:tcBorders>
            <w:shd w:val="solid" w:color="FF0000" w:fill="auto"/>
          </w:tcPr>
          <w:p w:rsidR="00D07E2F" w:rsidRDefault="003B4B10">
            <w:pPr>
              <w:jc w:val="center"/>
              <w:rPr>
                <w:rFonts w:ascii="Arial" w:hAnsi="Arial"/>
                <w:b/>
                <w:i/>
                <w:snapToGrid w:val="0"/>
                <w:color w:val="000000"/>
              </w:rPr>
            </w:pPr>
            <w:r>
              <w:rPr>
                <w:rFonts w:ascii="Arial" w:hAnsi="Arial"/>
                <w:b/>
                <w:i/>
                <w:snapToGrid w:val="0"/>
                <w:color w:val="000000"/>
              </w:rPr>
              <w:t>Skupaj</w:t>
            </w:r>
          </w:p>
        </w:tc>
        <w:tc>
          <w:tcPr>
            <w:tcW w:w="1024" w:type="dxa"/>
            <w:tcBorders>
              <w:top w:val="single" w:sz="18" w:space="0" w:color="auto"/>
              <w:left w:val="single" w:sz="12" w:space="0" w:color="auto"/>
              <w:bottom w:val="single" w:sz="12" w:space="0" w:color="auto"/>
              <w:right w:val="single" w:sz="12"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181</w:t>
            </w:r>
          </w:p>
        </w:tc>
        <w:tc>
          <w:tcPr>
            <w:tcW w:w="1184" w:type="dxa"/>
            <w:tcBorders>
              <w:top w:val="single" w:sz="18" w:space="0" w:color="auto"/>
              <w:left w:val="single" w:sz="12" w:space="0" w:color="auto"/>
              <w:bottom w:val="single" w:sz="12" w:space="0" w:color="auto"/>
              <w:right w:val="single" w:sz="12"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50,3</w:t>
            </w:r>
          </w:p>
        </w:tc>
        <w:tc>
          <w:tcPr>
            <w:tcW w:w="1024" w:type="dxa"/>
            <w:tcBorders>
              <w:top w:val="single" w:sz="18" w:space="0" w:color="auto"/>
              <w:left w:val="single" w:sz="12" w:space="0" w:color="auto"/>
              <w:bottom w:val="single" w:sz="12" w:space="0" w:color="auto"/>
              <w:right w:val="single" w:sz="12"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179</w:t>
            </w:r>
          </w:p>
        </w:tc>
        <w:tc>
          <w:tcPr>
            <w:tcW w:w="1088" w:type="dxa"/>
            <w:tcBorders>
              <w:top w:val="single" w:sz="18" w:space="0" w:color="auto"/>
              <w:left w:val="single" w:sz="12" w:space="0" w:color="auto"/>
              <w:bottom w:val="single" w:sz="12" w:space="0" w:color="auto"/>
              <w:right w:val="single" w:sz="12"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49,7</w:t>
            </w:r>
          </w:p>
        </w:tc>
        <w:tc>
          <w:tcPr>
            <w:tcW w:w="1024" w:type="dxa"/>
            <w:tcBorders>
              <w:top w:val="single" w:sz="18" w:space="0" w:color="auto"/>
              <w:left w:val="single" w:sz="12" w:space="0" w:color="auto"/>
              <w:bottom w:val="single" w:sz="12" w:space="0" w:color="auto"/>
              <w:right w:val="single" w:sz="12"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360</w:t>
            </w:r>
          </w:p>
        </w:tc>
        <w:tc>
          <w:tcPr>
            <w:tcW w:w="1216" w:type="dxa"/>
            <w:tcBorders>
              <w:top w:val="single" w:sz="18" w:space="0" w:color="auto"/>
              <w:left w:val="single" w:sz="12" w:space="0" w:color="auto"/>
              <w:bottom w:val="single" w:sz="12" w:space="0" w:color="auto"/>
              <w:right w:val="single" w:sz="12"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68"/>
        </w:trPr>
        <w:tc>
          <w:tcPr>
            <w:tcW w:w="18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b/>
                <w:snapToGrid w:val="0"/>
                <w:color w:val="0000FF"/>
              </w:rPr>
            </w:pPr>
            <w:r>
              <w:rPr>
                <w:rFonts w:ascii="Arial" w:hAnsi="Arial"/>
                <w:b/>
                <w:snapToGrid w:val="0"/>
                <w:color w:val="0000FF"/>
              </w:rPr>
              <w:t>0-4 leta</w:t>
            </w:r>
          </w:p>
        </w:tc>
        <w:tc>
          <w:tcPr>
            <w:tcW w:w="102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11</w:t>
            </w:r>
          </w:p>
        </w:tc>
        <w:tc>
          <w:tcPr>
            <w:tcW w:w="118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52,4</w:t>
            </w:r>
          </w:p>
        </w:tc>
        <w:tc>
          <w:tcPr>
            <w:tcW w:w="102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w:t>
            </w:r>
          </w:p>
        </w:tc>
        <w:tc>
          <w:tcPr>
            <w:tcW w:w="10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47,6</w:t>
            </w:r>
          </w:p>
        </w:tc>
        <w:tc>
          <w:tcPr>
            <w:tcW w:w="102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21</w:t>
            </w:r>
          </w:p>
        </w:tc>
        <w:tc>
          <w:tcPr>
            <w:tcW w:w="1216"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b/>
                <w:snapToGrid w:val="0"/>
                <w:color w:val="0000FF"/>
              </w:rPr>
            </w:pPr>
            <w:r>
              <w:rPr>
                <w:rFonts w:ascii="Arial" w:hAnsi="Arial"/>
                <w:b/>
                <w:snapToGrid w:val="0"/>
                <w:color w:val="0000FF"/>
              </w:rPr>
              <w:t>5-9 let</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7</w:t>
            </w:r>
          </w:p>
        </w:tc>
        <w:tc>
          <w:tcPr>
            <w:tcW w:w="1184"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43,8</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9</w:t>
            </w:r>
          </w:p>
        </w:tc>
        <w:tc>
          <w:tcPr>
            <w:tcW w:w="1088"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56,3</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16</w:t>
            </w:r>
          </w:p>
        </w:tc>
        <w:tc>
          <w:tcPr>
            <w:tcW w:w="1216"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b/>
                <w:snapToGrid w:val="0"/>
                <w:color w:val="0000FF"/>
              </w:rPr>
            </w:pPr>
            <w:r>
              <w:rPr>
                <w:rFonts w:ascii="Arial" w:hAnsi="Arial"/>
                <w:b/>
                <w:snapToGrid w:val="0"/>
                <w:color w:val="0000FF"/>
              </w:rPr>
              <w:t>10-14 let</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16</w:t>
            </w:r>
          </w:p>
        </w:tc>
        <w:tc>
          <w:tcPr>
            <w:tcW w:w="1184"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61,5</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w:t>
            </w:r>
          </w:p>
        </w:tc>
        <w:tc>
          <w:tcPr>
            <w:tcW w:w="1088"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38,5</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26</w:t>
            </w:r>
          </w:p>
        </w:tc>
        <w:tc>
          <w:tcPr>
            <w:tcW w:w="1216"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b/>
                <w:snapToGrid w:val="0"/>
                <w:color w:val="0000FF"/>
              </w:rPr>
            </w:pPr>
            <w:r>
              <w:rPr>
                <w:rFonts w:ascii="Arial" w:hAnsi="Arial"/>
                <w:b/>
                <w:snapToGrid w:val="0"/>
                <w:color w:val="0000FF"/>
              </w:rPr>
              <w:t>15-19</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12</w:t>
            </w:r>
          </w:p>
        </w:tc>
        <w:tc>
          <w:tcPr>
            <w:tcW w:w="118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60,0</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8</w:t>
            </w:r>
          </w:p>
        </w:tc>
        <w:tc>
          <w:tcPr>
            <w:tcW w:w="10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40,0</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20</w:t>
            </w:r>
          </w:p>
        </w:tc>
        <w:tc>
          <w:tcPr>
            <w:tcW w:w="1216"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b/>
                <w:snapToGrid w:val="0"/>
                <w:color w:val="0000FF"/>
              </w:rPr>
            </w:pPr>
            <w:r>
              <w:rPr>
                <w:rFonts w:ascii="Arial" w:hAnsi="Arial"/>
                <w:b/>
                <w:snapToGrid w:val="0"/>
                <w:color w:val="0000FF"/>
              </w:rPr>
              <w:t>20-24</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13</w:t>
            </w:r>
          </w:p>
        </w:tc>
        <w:tc>
          <w:tcPr>
            <w:tcW w:w="1184"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52,0</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12</w:t>
            </w:r>
          </w:p>
        </w:tc>
        <w:tc>
          <w:tcPr>
            <w:tcW w:w="1088"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48,0</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25</w:t>
            </w:r>
          </w:p>
        </w:tc>
        <w:tc>
          <w:tcPr>
            <w:tcW w:w="1216"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b/>
                <w:snapToGrid w:val="0"/>
                <w:color w:val="0000FF"/>
              </w:rPr>
            </w:pPr>
            <w:r>
              <w:rPr>
                <w:rFonts w:ascii="Arial" w:hAnsi="Arial"/>
                <w:b/>
                <w:snapToGrid w:val="0"/>
                <w:color w:val="0000FF"/>
              </w:rPr>
              <w:t>24-29</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14</w:t>
            </w:r>
          </w:p>
        </w:tc>
        <w:tc>
          <w:tcPr>
            <w:tcW w:w="1184"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48,3</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15</w:t>
            </w:r>
          </w:p>
        </w:tc>
        <w:tc>
          <w:tcPr>
            <w:tcW w:w="1088"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51,7</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29</w:t>
            </w:r>
          </w:p>
        </w:tc>
        <w:tc>
          <w:tcPr>
            <w:tcW w:w="1216"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b/>
                <w:snapToGrid w:val="0"/>
                <w:color w:val="0000FF"/>
              </w:rPr>
            </w:pPr>
            <w:r>
              <w:rPr>
                <w:rFonts w:ascii="Arial" w:hAnsi="Arial"/>
                <w:b/>
                <w:snapToGrid w:val="0"/>
                <w:color w:val="0000FF"/>
              </w:rPr>
              <w:t>30-34</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14</w:t>
            </w:r>
          </w:p>
        </w:tc>
        <w:tc>
          <w:tcPr>
            <w:tcW w:w="118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50,0</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14</w:t>
            </w:r>
          </w:p>
        </w:tc>
        <w:tc>
          <w:tcPr>
            <w:tcW w:w="10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50,0</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28</w:t>
            </w:r>
          </w:p>
        </w:tc>
        <w:tc>
          <w:tcPr>
            <w:tcW w:w="1216"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b/>
                <w:snapToGrid w:val="0"/>
                <w:color w:val="0000FF"/>
              </w:rPr>
            </w:pPr>
            <w:r>
              <w:rPr>
                <w:rFonts w:ascii="Arial" w:hAnsi="Arial"/>
                <w:b/>
                <w:snapToGrid w:val="0"/>
                <w:color w:val="0000FF"/>
              </w:rPr>
              <w:t>35-39</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15</w:t>
            </w:r>
          </w:p>
        </w:tc>
        <w:tc>
          <w:tcPr>
            <w:tcW w:w="1184"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50,0</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15</w:t>
            </w:r>
          </w:p>
        </w:tc>
        <w:tc>
          <w:tcPr>
            <w:tcW w:w="1088"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50,0</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30</w:t>
            </w:r>
          </w:p>
        </w:tc>
        <w:tc>
          <w:tcPr>
            <w:tcW w:w="1216"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b/>
                <w:snapToGrid w:val="0"/>
                <w:color w:val="0000FF"/>
              </w:rPr>
            </w:pPr>
            <w:r>
              <w:rPr>
                <w:rFonts w:ascii="Arial" w:hAnsi="Arial"/>
                <w:b/>
                <w:snapToGrid w:val="0"/>
                <w:color w:val="0000FF"/>
              </w:rPr>
              <w:t>40-44</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17</w:t>
            </w:r>
          </w:p>
        </w:tc>
        <w:tc>
          <w:tcPr>
            <w:tcW w:w="1184"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58,6</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12</w:t>
            </w:r>
          </w:p>
        </w:tc>
        <w:tc>
          <w:tcPr>
            <w:tcW w:w="1088"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41,4</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29</w:t>
            </w:r>
          </w:p>
        </w:tc>
        <w:tc>
          <w:tcPr>
            <w:tcW w:w="1216"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b/>
                <w:snapToGrid w:val="0"/>
                <w:color w:val="0000FF"/>
              </w:rPr>
            </w:pPr>
            <w:r>
              <w:rPr>
                <w:rFonts w:ascii="Arial" w:hAnsi="Arial"/>
                <w:b/>
                <w:snapToGrid w:val="0"/>
                <w:color w:val="0000FF"/>
              </w:rPr>
              <w:t>45-49</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13</w:t>
            </w:r>
          </w:p>
        </w:tc>
        <w:tc>
          <w:tcPr>
            <w:tcW w:w="118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46,4</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15</w:t>
            </w:r>
          </w:p>
        </w:tc>
        <w:tc>
          <w:tcPr>
            <w:tcW w:w="10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53,6</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28</w:t>
            </w:r>
          </w:p>
        </w:tc>
        <w:tc>
          <w:tcPr>
            <w:tcW w:w="1216"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b/>
                <w:snapToGrid w:val="0"/>
                <w:color w:val="0000FF"/>
              </w:rPr>
            </w:pPr>
            <w:r>
              <w:rPr>
                <w:rFonts w:ascii="Arial" w:hAnsi="Arial"/>
                <w:b/>
                <w:snapToGrid w:val="0"/>
                <w:color w:val="0000FF"/>
              </w:rPr>
              <w:t>50-54</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21</w:t>
            </w:r>
          </w:p>
        </w:tc>
        <w:tc>
          <w:tcPr>
            <w:tcW w:w="1184"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56,8</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16</w:t>
            </w:r>
          </w:p>
        </w:tc>
        <w:tc>
          <w:tcPr>
            <w:tcW w:w="1088"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43,2</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37</w:t>
            </w:r>
          </w:p>
        </w:tc>
        <w:tc>
          <w:tcPr>
            <w:tcW w:w="1216"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b/>
                <w:snapToGrid w:val="0"/>
                <w:color w:val="0000FF"/>
              </w:rPr>
            </w:pPr>
            <w:r>
              <w:rPr>
                <w:rFonts w:ascii="Arial" w:hAnsi="Arial"/>
                <w:b/>
                <w:snapToGrid w:val="0"/>
                <w:color w:val="0000FF"/>
              </w:rPr>
              <w:t>55-59</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9</w:t>
            </w:r>
          </w:p>
        </w:tc>
        <w:tc>
          <w:tcPr>
            <w:tcW w:w="1184"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45,0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11</w:t>
            </w:r>
          </w:p>
        </w:tc>
        <w:tc>
          <w:tcPr>
            <w:tcW w:w="1088"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55,0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20</w:t>
            </w:r>
          </w:p>
        </w:tc>
        <w:tc>
          <w:tcPr>
            <w:tcW w:w="1216"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b/>
                <w:snapToGrid w:val="0"/>
                <w:color w:val="0000FF"/>
              </w:rPr>
            </w:pPr>
            <w:r>
              <w:rPr>
                <w:rFonts w:ascii="Arial" w:hAnsi="Arial"/>
                <w:b/>
                <w:snapToGrid w:val="0"/>
                <w:color w:val="0000FF"/>
              </w:rPr>
              <w:t>60-64</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5</w:t>
            </w:r>
          </w:p>
        </w:tc>
        <w:tc>
          <w:tcPr>
            <w:tcW w:w="118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41,7</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7</w:t>
            </w:r>
          </w:p>
        </w:tc>
        <w:tc>
          <w:tcPr>
            <w:tcW w:w="10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58,3</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12</w:t>
            </w:r>
          </w:p>
        </w:tc>
        <w:tc>
          <w:tcPr>
            <w:tcW w:w="1216"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b/>
                <w:snapToGrid w:val="0"/>
                <w:color w:val="0000FF"/>
              </w:rPr>
            </w:pPr>
            <w:r>
              <w:rPr>
                <w:rFonts w:ascii="Arial" w:hAnsi="Arial"/>
                <w:b/>
                <w:snapToGrid w:val="0"/>
                <w:color w:val="0000FF"/>
              </w:rPr>
              <w:t>65-69</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w:t>
            </w:r>
          </w:p>
        </w:tc>
        <w:tc>
          <w:tcPr>
            <w:tcW w:w="1184"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35,7</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9</w:t>
            </w:r>
          </w:p>
        </w:tc>
        <w:tc>
          <w:tcPr>
            <w:tcW w:w="1088"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64,3</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14</w:t>
            </w:r>
          </w:p>
        </w:tc>
        <w:tc>
          <w:tcPr>
            <w:tcW w:w="1216"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b/>
                <w:snapToGrid w:val="0"/>
                <w:color w:val="0000FF"/>
              </w:rPr>
            </w:pPr>
            <w:r>
              <w:rPr>
                <w:rFonts w:ascii="Arial" w:hAnsi="Arial"/>
                <w:b/>
                <w:snapToGrid w:val="0"/>
                <w:color w:val="0000FF"/>
              </w:rPr>
              <w:t>70-74</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6</w:t>
            </w:r>
          </w:p>
        </w:tc>
        <w:tc>
          <w:tcPr>
            <w:tcW w:w="1184"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60,0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4</w:t>
            </w:r>
          </w:p>
        </w:tc>
        <w:tc>
          <w:tcPr>
            <w:tcW w:w="1088"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40,0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w:t>
            </w:r>
          </w:p>
        </w:tc>
        <w:tc>
          <w:tcPr>
            <w:tcW w:w="1216"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b/>
                <w:snapToGrid w:val="0"/>
                <w:color w:val="0000FF"/>
              </w:rPr>
            </w:pPr>
            <w:r>
              <w:rPr>
                <w:rFonts w:ascii="Arial" w:hAnsi="Arial"/>
                <w:b/>
                <w:snapToGrid w:val="0"/>
                <w:color w:val="0000FF"/>
              </w:rPr>
              <w:t>75-79</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w:t>
            </w:r>
          </w:p>
        </w:tc>
        <w:tc>
          <w:tcPr>
            <w:tcW w:w="118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14,3</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6</w:t>
            </w:r>
          </w:p>
        </w:tc>
        <w:tc>
          <w:tcPr>
            <w:tcW w:w="10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85,7</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7</w:t>
            </w:r>
          </w:p>
        </w:tc>
        <w:tc>
          <w:tcPr>
            <w:tcW w:w="1216"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68"/>
        </w:trPr>
        <w:tc>
          <w:tcPr>
            <w:tcW w:w="1888"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b/>
                <w:snapToGrid w:val="0"/>
                <w:color w:val="0000FF"/>
              </w:rPr>
            </w:pPr>
            <w:r>
              <w:rPr>
                <w:rFonts w:ascii="Arial" w:hAnsi="Arial"/>
                <w:b/>
                <w:snapToGrid w:val="0"/>
                <w:color w:val="0000FF"/>
              </w:rPr>
              <w:t>80-84</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2</w:t>
            </w:r>
          </w:p>
        </w:tc>
        <w:tc>
          <w:tcPr>
            <w:tcW w:w="1184"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28,6</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5</w:t>
            </w:r>
          </w:p>
        </w:tc>
        <w:tc>
          <w:tcPr>
            <w:tcW w:w="1088"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71,4</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7</w:t>
            </w:r>
          </w:p>
        </w:tc>
        <w:tc>
          <w:tcPr>
            <w:tcW w:w="1216"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b/>
                <w:snapToGrid w:val="0"/>
                <w:color w:val="0000FF"/>
              </w:rPr>
            </w:pPr>
            <w:r>
              <w:rPr>
                <w:rFonts w:ascii="Arial" w:hAnsi="Arial"/>
                <w:b/>
                <w:snapToGrid w:val="0"/>
                <w:color w:val="0000FF"/>
              </w:rPr>
              <w:t>85-89</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0</w:t>
            </w:r>
          </w:p>
        </w:tc>
        <w:tc>
          <w:tcPr>
            <w:tcW w:w="1184"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0,0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w:t>
            </w:r>
          </w:p>
        </w:tc>
        <w:tc>
          <w:tcPr>
            <w:tcW w:w="1088"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w:t>
            </w:r>
          </w:p>
        </w:tc>
        <w:tc>
          <w:tcPr>
            <w:tcW w:w="1216"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b/>
                <w:snapToGrid w:val="0"/>
                <w:color w:val="0000FF"/>
              </w:rPr>
            </w:pPr>
            <w:r>
              <w:rPr>
                <w:rFonts w:ascii="Arial" w:hAnsi="Arial"/>
                <w:b/>
                <w:snapToGrid w:val="0"/>
                <w:color w:val="0000FF"/>
              </w:rPr>
              <w:t>90-94</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0</w:t>
            </w:r>
          </w:p>
        </w:tc>
        <w:tc>
          <w:tcPr>
            <w:tcW w:w="1184"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0,0</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0</w:t>
            </w:r>
          </w:p>
        </w:tc>
        <w:tc>
          <w:tcPr>
            <w:tcW w:w="1088" w:type="dxa"/>
            <w:tcBorders>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0,0</w:t>
            </w:r>
          </w:p>
        </w:tc>
        <w:tc>
          <w:tcPr>
            <w:tcW w:w="1024"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0</w:t>
            </w:r>
          </w:p>
        </w:tc>
        <w:tc>
          <w:tcPr>
            <w:tcW w:w="1216" w:type="dxa"/>
            <w:tcBorders>
              <w:top w:val="double" w:sz="6" w:space="0" w:color="auto"/>
              <w:left w:val="double" w:sz="6" w:space="0" w:color="auto"/>
              <w:bottom w:val="double" w:sz="6" w:space="0" w:color="auto"/>
              <w:right w:val="double" w:sz="6" w:space="0" w:color="auto"/>
            </w:tcBorders>
            <w:shd w:val="solid" w:color="00FFFF"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b/>
                <w:snapToGrid w:val="0"/>
                <w:color w:val="0000FF"/>
              </w:rPr>
            </w:pPr>
            <w:r>
              <w:rPr>
                <w:rFonts w:ascii="Arial" w:hAnsi="Arial"/>
                <w:b/>
                <w:snapToGrid w:val="0"/>
                <w:color w:val="0000FF"/>
              </w:rPr>
              <w:t>95-99</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0</w:t>
            </w:r>
          </w:p>
        </w:tc>
        <w:tc>
          <w:tcPr>
            <w:tcW w:w="1184"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0,0</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0</w:t>
            </w:r>
          </w:p>
        </w:tc>
        <w:tc>
          <w:tcPr>
            <w:tcW w:w="1088" w:type="dxa"/>
            <w:tcBorders>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0,0</w:t>
            </w:r>
          </w:p>
        </w:tc>
        <w:tc>
          <w:tcPr>
            <w:tcW w:w="1024"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0</w:t>
            </w:r>
          </w:p>
        </w:tc>
        <w:tc>
          <w:tcPr>
            <w:tcW w:w="1216" w:type="dxa"/>
            <w:tcBorders>
              <w:top w:val="double" w:sz="6" w:space="0" w:color="auto"/>
              <w:left w:val="double" w:sz="6" w:space="0" w:color="auto"/>
              <w:bottom w:val="double" w:sz="6" w:space="0" w:color="auto"/>
              <w:right w:val="double" w:sz="6" w:space="0" w:color="auto"/>
            </w:tcBorders>
            <w:shd w:val="solid" w:color="FF0000" w:fill="auto"/>
          </w:tcPr>
          <w:p w:rsidR="00D07E2F" w:rsidRDefault="003B4B10">
            <w:pPr>
              <w:jc w:val="center"/>
              <w:rPr>
                <w:rFonts w:ascii="Arial" w:hAnsi="Arial"/>
                <w:snapToGrid w:val="0"/>
                <w:color w:val="000000"/>
              </w:rPr>
            </w:pPr>
            <w:r>
              <w:rPr>
                <w:rFonts w:ascii="Arial" w:hAnsi="Arial"/>
                <w:snapToGrid w:val="0"/>
                <w:color w:val="000000"/>
              </w:rPr>
              <w:t>100</w:t>
            </w:r>
          </w:p>
        </w:tc>
      </w:tr>
      <w:tr w:rsidR="00D07E2F">
        <w:trPr>
          <w:trHeight w:val="284"/>
        </w:trPr>
        <w:tc>
          <w:tcPr>
            <w:tcW w:w="1888"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b/>
                <w:snapToGrid w:val="0"/>
                <w:color w:val="0000FF"/>
              </w:rPr>
            </w:pPr>
            <w:r>
              <w:rPr>
                <w:rFonts w:ascii="Arial" w:hAnsi="Arial"/>
                <w:b/>
                <w:snapToGrid w:val="0"/>
                <w:color w:val="0000FF"/>
              </w:rPr>
              <w:t>100 in več</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0</w:t>
            </w:r>
          </w:p>
        </w:tc>
        <w:tc>
          <w:tcPr>
            <w:tcW w:w="1184"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0,0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0</w:t>
            </w:r>
          </w:p>
        </w:tc>
        <w:tc>
          <w:tcPr>
            <w:tcW w:w="1088" w:type="dxa"/>
            <w:tcBorders>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0,0</w:t>
            </w:r>
          </w:p>
        </w:tc>
        <w:tc>
          <w:tcPr>
            <w:tcW w:w="1024" w:type="dxa"/>
            <w:tcBorders>
              <w:top w:val="double" w:sz="6" w:space="0" w:color="auto"/>
              <w:left w:val="double" w:sz="6" w:space="0" w:color="auto"/>
              <w:bottom w:val="double" w:sz="6"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0</w:t>
            </w:r>
          </w:p>
        </w:tc>
        <w:tc>
          <w:tcPr>
            <w:tcW w:w="1216" w:type="dxa"/>
            <w:tcBorders>
              <w:top w:val="double" w:sz="6" w:space="0" w:color="auto"/>
              <w:left w:val="double" w:sz="6" w:space="0" w:color="auto"/>
              <w:bottom w:val="single" w:sz="12" w:space="0" w:color="auto"/>
              <w:right w:val="double" w:sz="6" w:space="0" w:color="auto"/>
            </w:tcBorders>
            <w:shd w:val="solid" w:color="FFFF00" w:fill="auto"/>
          </w:tcPr>
          <w:p w:rsidR="00D07E2F" w:rsidRDefault="003B4B10">
            <w:pPr>
              <w:jc w:val="center"/>
              <w:rPr>
                <w:rFonts w:ascii="Arial" w:hAnsi="Arial"/>
                <w:snapToGrid w:val="0"/>
                <w:color w:val="000000"/>
              </w:rPr>
            </w:pPr>
            <w:r>
              <w:rPr>
                <w:rFonts w:ascii="Arial" w:hAnsi="Arial"/>
                <w:snapToGrid w:val="0"/>
                <w:color w:val="000000"/>
              </w:rPr>
              <w:t>100</w:t>
            </w:r>
          </w:p>
        </w:tc>
      </w:tr>
    </w:tbl>
    <w:p w:rsidR="00D07E2F" w:rsidRDefault="00D07E2F">
      <w:pPr>
        <w:rPr>
          <w:sz w:val="24"/>
        </w:rPr>
      </w:pPr>
    </w:p>
    <w:p w:rsidR="00D07E2F" w:rsidRDefault="003B4B10">
      <w:pPr>
        <w:numPr>
          <w:ilvl w:val="0"/>
          <w:numId w:val="5"/>
        </w:numPr>
        <w:rPr>
          <w:sz w:val="24"/>
        </w:rPr>
      </w:pPr>
      <w:r>
        <w:rPr>
          <w:sz w:val="24"/>
        </w:rPr>
        <w:t>Demografska piramida Dolnje Košane (v prilogi)</w:t>
      </w:r>
    </w:p>
    <w:p w:rsidR="00D07E2F" w:rsidRDefault="003B4B10">
      <w:pPr>
        <w:ind w:left="360"/>
        <w:rPr>
          <w:sz w:val="24"/>
        </w:rPr>
      </w:pPr>
      <w:r>
        <w:rPr>
          <w:sz w:val="24"/>
        </w:rPr>
        <w:t xml:space="preserve">V primerjavi  s demografsko piramido Slovenije, sta si kar podobni. Obe imata obliko koša, v kateri prevladuje zrelo prebivalstvo. Edina vidna razlika je v številu moških in žensk. V Sloveniji imamo več ženske populacije, v Dolnji Košani pa je več moškega prebivalstva. </w:t>
      </w:r>
    </w:p>
    <w:p w:rsidR="00D07E2F" w:rsidRDefault="003B4B10">
      <w:pPr>
        <w:numPr>
          <w:ilvl w:val="0"/>
          <w:numId w:val="9"/>
        </w:numPr>
        <w:rPr>
          <w:sz w:val="24"/>
        </w:rPr>
      </w:pPr>
      <w:r>
        <w:rPr>
          <w:sz w:val="24"/>
        </w:rPr>
        <w:t>Dolnja Košana se bo ukvarjala z upadanjem števila prebivalcev, vedno več bo starejšega prebivalstva, torej se bo tudi oblika demografske piramide spreminjal v obliko žare.</w:t>
      </w:r>
    </w:p>
    <w:p w:rsidR="00D07E2F" w:rsidRDefault="00D07E2F"/>
    <w:sectPr w:rsidR="00D07E2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185"/>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B4609C"/>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014DE1"/>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F5D183D"/>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04B0BF1"/>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7C86F1A"/>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6B80612"/>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7EF83705"/>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F84353B"/>
    <w:multiLevelType w:val="singleLevel"/>
    <w:tmpl w:val="04240009"/>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B10"/>
    <w:rsid w:val="003B4B10"/>
    <w:rsid w:val="00660ECE"/>
    <w:rsid w:val="00D07E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