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02F" w:rsidRDefault="00C6702F">
      <w:pPr>
        <w:rPr>
          <w:rFonts w:ascii="Arial Black" w:hAnsi="Arial Black"/>
          <w:sz w:val="72"/>
          <w:szCs w:val="72"/>
        </w:rPr>
      </w:pPr>
      <w:bookmarkStart w:id="0" w:name="_GoBack"/>
      <w:bookmarkEnd w:id="0"/>
    </w:p>
    <w:p w:rsidR="00C6702F" w:rsidRDefault="00C6702F">
      <w:pPr>
        <w:rPr>
          <w:rFonts w:ascii="Arial Black" w:hAnsi="Arial Black"/>
          <w:sz w:val="72"/>
          <w:szCs w:val="72"/>
        </w:rPr>
      </w:pPr>
    </w:p>
    <w:p w:rsidR="00C6702F" w:rsidRDefault="00C6702F">
      <w:pPr>
        <w:rPr>
          <w:rFonts w:ascii="Arial Black" w:hAnsi="Arial Black"/>
          <w:sz w:val="72"/>
          <w:szCs w:val="72"/>
        </w:rPr>
      </w:pPr>
    </w:p>
    <w:p w:rsidR="00C6702F" w:rsidRDefault="00C6702F">
      <w:pPr>
        <w:rPr>
          <w:rFonts w:ascii="Arial Black" w:hAnsi="Arial Black"/>
          <w:sz w:val="72"/>
          <w:szCs w:val="72"/>
        </w:rPr>
      </w:pPr>
    </w:p>
    <w:p w:rsidR="00C6702F" w:rsidRDefault="00C6702F">
      <w:pPr>
        <w:jc w:val="center"/>
        <w:rPr>
          <w:rFonts w:ascii="Century Schoolbook" w:hAnsi="Century Schoolbook" w:cs="Arabic Typesetting"/>
          <w:sz w:val="144"/>
          <w:szCs w:val="144"/>
        </w:rPr>
      </w:pPr>
      <w:r>
        <w:rPr>
          <w:rFonts w:ascii="Century Schoolbook" w:hAnsi="Century Schoolbook" w:cs="Arabic Typesetting"/>
          <w:sz w:val="144"/>
          <w:szCs w:val="144"/>
        </w:rPr>
        <w:t>UKRAJINA</w:t>
      </w:r>
    </w:p>
    <w:p w:rsidR="00C6702F" w:rsidRDefault="00C6702F">
      <w:pPr>
        <w:jc w:val="center"/>
        <w:rPr>
          <w:rFonts w:ascii="Century Schoolbook" w:hAnsi="Century Schoolbook" w:cs="Arabic Typesetting"/>
          <w:sz w:val="96"/>
          <w:szCs w:val="96"/>
        </w:rPr>
      </w:pPr>
    </w:p>
    <w:p w:rsidR="00C6702F" w:rsidRDefault="00C6702F">
      <w:pPr>
        <w:jc w:val="center"/>
        <w:rPr>
          <w:rFonts w:ascii="Century Schoolbook" w:hAnsi="Century Schoolbook" w:cs="Arabic Typesetting"/>
          <w:sz w:val="96"/>
          <w:szCs w:val="96"/>
        </w:rPr>
      </w:pPr>
    </w:p>
    <w:p w:rsidR="00C6702F" w:rsidRDefault="00C6702F">
      <w:pPr>
        <w:jc w:val="center"/>
        <w:rPr>
          <w:rFonts w:ascii="Century Schoolbook" w:hAnsi="Century Schoolbook" w:cs="Arabic Typesetting"/>
          <w:sz w:val="96"/>
          <w:szCs w:val="96"/>
        </w:rPr>
      </w:pPr>
    </w:p>
    <w:p w:rsidR="00C6702F" w:rsidRDefault="00C6702F">
      <w:pPr>
        <w:jc w:val="center"/>
        <w:rPr>
          <w:rFonts w:ascii="Century Schoolbook" w:hAnsi="Century Schoolbook" w:cs="Arabic Typesetting"/>
          <w:sz w:val="96"/>
          <w:szCs w:val="96"/>
        </w:rPr>
      </w:pPr>
    </w:p>
    <w:p w:rsidR="00C6702F" w:rsidRDefault="00C6702F">
      <w:pPr>
        <w:jc w:val="center"/>
        <w:rPr>
          <w:rFonts w:ascii="Century Schoolbook" w:hAnsi="Century Schoolbook" w:cs="Arabic Typesetting"/>
          <w:sz w:val="96"/>
          <w:szCs w:val="96"/>
        </w:rPr>
      </w:pPr>
    </w:p>
    <w:p w:rsidR="00C6702F" w:rsidRDefault="00C6702F">
      <w:pPr>
        <w:jc w:val="center"/>
        <w:rPr>
          <w:rFonts w:ascii="Century Schoolbook" w:hAnsi="Century Schoolbook" w:cs="Arabic Typesetting"/>
          <w:sz w:val="96"/>
          <w:szCs w:val="96"/>
        </w:rPr>
      </w:pPr>
    </w:p>
    <w:p w:rsidR="00C6702F" w:rsidRDefault="00C6702F">
      <w:pPr>
        <w:jc w:val="center"/>
        <w:rPr>
          <w:rFonts w:ascii="Century Schoolbook" w:hAnsi="Century Schoolbook" w:cs="Arabic Typesetting"/>
          <w:sz w:val="96"/>
          <w:szCs w:val="96"/>
        </w:rPr>
      </w:pPr>
    </w:p>
    <w:p w:rsidR="00C6702F" w:rsidRDefault="00C6702F">
      <w:pPr>
        <w:numPr>
          <w:ilvl w:val="0"/>
          <w:numId w:val="1"/>
        </w:numPr>
        <w:rPr>
          <w:rFonts w:ascii="Century Schoolbook" w:hAnsi="Century Schoolbook" w:cs="Arabic Typesetting"/>
          <w:i/>
          <w:sz w:val="40"/>
          <w:szCs w:val="40"/>
          <w:u w:val="single"/>
        </w:rPr>
      </w:pPr>
      <w:r>
        <w:rPr>
          <w:rFonts w:ascii="Century Schoolbook" w:hAnsi="Century Schoolbook" w:cs="Arabic Typesetting"/>
          <w:i/>
          <w:sz w:val="40"/>
          <w:szCs w:val="40"/>
          <w:u w:val="single"/>
        </w:rPr>
        <w:lastRenderedPageBreak/>
        <w:t xml:space="preserve"> PODATKI</w:t>
      </w:r>
    </w:p>
    <w:p w:rsidR="00C6702F" w:rsidRDefault="00C6702F">
      <w:pPr>
        <w:jc w:val="both"/>
        <w:rPr>
          <w:rFonts w:ascii="Century Schoolbook" w:hAnsi="Century Schoolbook" w:cs="Arabic Typesetting"/>
          <w:i/>
          <w:sz w:val="40"/>
          <w:szCs w:val="40"/>
        </w:rPr>
      </w:pPr>
    </w:p>
    <w:p w:rsidR="00C6702F" w:rsidRDefault="00C6702F">
      <w:pPr>
        <w:numPr>
          <w:ilvl w:val="0"/>
          <w:numId w:val="4"/>
        </w:numPr>
        <w:jc w:val="both"/>
        <w:rPr>
          <w:rFonts w:ascii="Century Schoolbook" w:hAnsi="Century Schoolbook" w:cs="Arabic Typesetting"/>
          <w:sz w:val="36"/>
          <w:szCs w:val="36"/>
        </w:rPr>
      </w:pPr>
      <w:r>
        <w:rPr>
          <w:rFonts w:ascii="Century Schoolbook" w:hAnsi="Century Schoolbook" w:cs="Arabic Typesetting"/>
          <w:sz w:val="36"/>
          <w:szCs w:val="36"/>
        </w:rPr>
        <w:t>Površina: 603 700 km2</w:t>
      </w:r>
    </w:p>
    <w:p w:rsidR="00C6702F" w:rsidRDefault="00C6702F">
      <w:pPr>
        <w:numPr>
          <w:ilvl w:val="0"/>
          <w:numId w:val="4"/>
        </w:numPr>
        <w:jc w:val="both"/>
        <w:rPr>
          <w:rFonts w:ascii="Century Schoolbook" w:hAnsi="Century Schoolbook" w:cs="Arabic Typesetting"/>
          <w:sz w:val="36"/>
          <w:szCs w:val="36"/>
        </w:rPr>
      </w:pPr>
      <w:r>
        <w:rPr>
          <w:rFonts w:ascii="Century Schoolbook" w:hAnsi="Century Schoolbook" w:cs="Arabic Typesetting"/>
          <w:sz w:val="36"/>
          <w:szCs w:val="36"/>
        </w:rPr>
        <w:t>Prebivalstvo: 51 200 000</w:t>
      </w:r>
    </w:p>
    <w:p w:rsidR="00C6702F" w:rsidRDefault="00C6702F">
      <w:pPr>
        <w:numPr>
          <w:ilvl w:val="0"/>
          <w:numId w:val="4"/>
        </w:numPr>
        <w:jc w:val="both"/>
        <w:rPr>
          <w:rFonts w:ascii="Century Schoolbook" w:hAnsi="Century Schoolbook" w:cs="Arabic Typesetting"/>
          <w:sz w:val="36"/>
          <w:szCs w:val="36"/>
        </w:rPr>
      </w:pPr>
      <w:r>
        <w:rPr>
          <w:rFonts w:ascii="Century Schoolbook" w:hAnsi="Century Schoolbook" w:cs="Arabic Typesetting"/>
          <w:sz w:val="36"/>
          <w:szCs w:val="36"/>
        </w:rPr>
        <w:t>Glavno mesto: Kijev</w:t>
      </w:r>
    </w:p>
    <w:p w:rsidR="00C6702F" w:rsidRDefault="00C6702F">
      <w:pPr>
        <w:numPr>
          <w:ilvl w:val="0"/>
          <w:numId w:val="4"/>
        </w:numPr>
        <w:jc w:val="both"/>
        <w:rPr>
          <w:rFonts w:ascii="Century Schoolbook" w:hAnsi="Century Schoolbook" w:cs="Arabic Typesetting"/>
          <w:sz w:val="36"/>
          <w:szCs w:val="36"/>
        </w:rPr>
      </w:pPr>
      <w:r>
        <w:rPr>
          <w:rFonts w:ascii="Century Schoolbook" w:hAnsi="Century Schoolbook" w:cs="Arabic Typesetting"/>
          <w:sz w:val="36"/>
          <w:szCs w:val="36"/>
        </w:rPr>
        <w:t>Vera: Pravoslavna, judovska, rimskokatoliška, protestantska</w:t>
      </w:r>
    </w:p>
    <w:p w:rsidR="00C6702F" w:rsidRDefault="00C6702F">
      <w:pPr>
        <w:numPr>
          <w:ilvl w:val="0"/>
          <w:numId w:val="4"/>
        </w:numPr>
        <w:jc w:val="both"/>
        <w:rPr>
          <w:rFonts w:ascii="Century Schoolbook" w:hAnsi="Century Schoolbook" w:cs="Arabic Typesetting"/>
          <w:sz w:val="36"/>
          <w:szCs w:val="36"/>
        </w:rPr>
      </w:pPr>
      <w:r>
        <w:rPr>
          <w:rFonts w:ascii="Century Schoolbook" w:hAnsi="Century Schoolbook" w:cs="Arabic Typesetting"/>
          <w:sz w:val="36"/>
          <w:szCs w:val="36"/>
        </w:rPr>
        <w:t>Denarna enota: Grivna</w:t>
      </w:r>
    </w:p>
    <w:p w:rsidR="00C6702F" w:rsidRDefault="00C6702F">
      <w:pPr>
        <w:numPr>
          <w:ilvl w:val="0"/>
          <w:numId w:val="4"/>
        </w:numPr>
        <w:jc w:val="both"/>
        <w:rPr>
          <w:rFonts w:ascii="Century Schoolbook" w:hAnsi="Century Schoolbook" w:cs="Arabic Typesetting"/>
          <w:sz w:val="36"/>
          <w:szCs w:val="36"/>
        </w:rPr>
      </w:pPr>
      <w:r>
        <w:rPr>
          <w:rFonts w:ascii="Century Schoolbook" w:hAnsi="Century Schoolbook" w:cs="Arabic Typesetting"/>
          <w:sz w:val="36"/>
          <w:szCs w:val="36"/>
        </w:rPr>
        <w:t>Glavna zaposlitev: Kmetijstvo, rudarstvo</w:t>
      </w:r>
    </w:p>
    <w:p w:rsidR="00C6702F" w:rsidRDefault="00C6702F">
      <w:pPr>
        <w:numPr>
          <w:ilvl w:val="0"/>
          <w:numId w:val="4"/>
        </w:numPr>
        <w:jc w:val="both"/>
        <w:rPr>
          <w:rFonts w:ascii="Century Schoolbook" w:hAnsi="Century Schoolbook" w:cs="Arabic Typesetting"/>
          <w:sz w:val="36"/>
          <w:szCs w:val="36"/>
        </w:rPr>
      </w:pPr>
      <w:r>
        <w:rPr>
          <w:rFonts w:ascii="Century Schoolbook" w:hAnsi="Century Schoolbook" w:cs="Arabic Typesetting"/>
          <w:sz w:val="36"/>
          <w:szCs w:val="36"/>
        </w:rPr>
        <w:t>Glavni izvoz: Premog, titan, jeklo, manganova ruda</w:t>
      </w:r>
    </w:p>
    <w:p w:rsidR="00C6702F" w:rsidRDefault="00C6702F">
      <w:pPr>
        <w:numPr>
          <w:ilvl w:val="0"/>
          <w:numId w:val="4"/>
        </w:numPr>
        <w:jc w:val="both"/>
        <w:rPr>
          <w:rFonts w:ascii="Century Schoolbook" w:hAnsi="Century Schoolbook" w:cs="Arabic Typesetting"/>
          <w:sz w:val="36"/>
          <w:szCs w:val="36"/>
        </w:rPr>
      </w:pPr>
      <w:r>
        <w:rPr>
          <w:rFonts w:ascii="Century Schoolbook" w:hAnsi="Century Schoolbook" w:cs="Arabic Typesetting"/>
          <w:sz w:val="36"/>
          <w:szCs w:val="36"/>
        </w:rPr>
        <w:t>Glavni uvoz: Nafta, zemeljski plin</w:t>
      </w:r>
    </w:p>
    <w:p w:rsidR="00C6702F" w:rsidRDefault="00C6702F">
      <w:pPr>
        <w:rPr>
          <w:rFonts w:ascii="Century Schoolbook" w:hAnsi="Century Schoolbook" w:cs="Arabic Typesetting"/>
          <w:sz w:val="36"/>
          <w:szCs w:val="36"/>
        </w:rPr>
      </w:pPr>
    </w:p>
    <w:p w:rsidR="00C6702F" w:rsidRDefault="00C6702F">
      <w:pPr>
        <w:rPr>
          <w:rFonts w:ascii="Century Schoolbook" w:hAnsi="Century Schoolbook" w:cs="Arabic Typesetting"/>
          <w:sz w:val="36"/>
          <w:szCs w:val="36"/>
        </w:rPr>
      </w:pPr>
    </w:p>
    <w:p w:rsidR="00C6702F" w:rsidRDefault="00C6702F">
      <w:pPr>
        <w:numPr>
          <w:ilvl w:val="0"/>
          <w:numId w:val="1"/>
        </w:numPr>
        <w:rPr>
          <w:rFonts w:ascii="Century Schoolbook" w:hAnsi="Century Schoolbook" w:cs="Arabic Typesetting"/>
          <w:i/>
          <w:sz w:val="40"/>
          <w:szCs w:val="40"/>
          <w:u w:val="single"/>
        </w:rPr>
      </w:pPr>
      <w:r>
        <w:rPr>
          <w:rFonts w:ascii="Century Schoolbook" w:hAnsi="Century Schoolbook" w:cs="Arabic Typesetting"/>
          <w:i/>
          <w:sz w:val="40"/>
          <w:szCs w:val="40"/>
          <w:u w:val="single"/>
        </w:rPr>
        <w:t>LEGA</w:t>
      </w:r>
    </w:p>
    <w:p w:rsidR="00C6702F" w:rsidRDefault="00C6702F">
      <w:pPr>
        <w:rPr>
          <w:rFonts w:ascii="Century Schoolbook" w:hAnsi="Century Schoolbook" w:cs="Arabic Typesetting"/>
          <w:i/>
          <w:sz w:val="40"/>
          <w:szCs w:val="40"/>
        </w:rPr>
      </w:pPr>
    </w:p>
    <w:p w:rsidR="00C6702F" w:rsidRDefault="00C6702F">
      <w:pPr>
        <w:jc w:val="both"/>
        <w:rPr>
          <w:rFonts w:ascii="Century Schoolbook" w:hAnsi="Century Schoolbook" w:cs="Arabic Typesetting"/>
          <w:sz w:val="36"/>
          <w:szCs w:val="36"/>
        </w:rPr>
      </w:pPr>
      <w:r>
        <w:rPr>
          <w:rFonts w:ascii="Century Schoolbook" w:hAnsi="Century Schoolbook" w:cs="Arabic Typesetting"/>
          <w:sz w:val="36"/>
          <w:szCs w:val="36"/>
        </w:rPr>
        <w:t xml:space="preserve">Leži v Vzhodni Evropi in na jugu meji na Črno morje, na vzhodu na Rusijo, na severu na Belorusijo, na zahodu pa na Poljsko, Slovaško, Madžarsko, Romunijo in Moldavijo. </w:t>
      </w:r>
    </w:p>
    <w:p w:rsidR="00C6702F" w:rsidRDefault="00C6702F">
      <w:pPr>
        <w:rPr>
          <w:rFonts w:ascii="Century Schoolbook" w:hAnsi="Century Schoolbook" w:cs="Arabic Typesetting"/>
          <w:sz w:val="36"/>
          <w:szCs w:val="36"/>
        </w:rPr>
      </w:pPr>
    </w:p>
    <w:p w:rsidR="00C6702F" w:rsidRDefault="00C6702F">
      <w:pPr>
        <w:rPr>
          <w:rFonts w:ascii="Century Schoolbook" w:hAnsi="Century Schoolbook" w:cs="Arabic Typesetting"/>
          <w:sz w:val="36"/>
          <w:szCs w:val="36"/>
        </w:rPr>
      </w:pPr>
    </w:p>
    <w:p w:rsidR="00C6702F" w:rsidRDefault="00C6702F">
      <w:pPr>
        <w:numPr>
          <w:ilvl w:val="0"/>
          <w:numId w:val="1"/>
        </w:numPr>
        <w:rPr>
          <w:rFonts w:ascii="Century Schoolbook" w:hAnsi="Century Schoolbook" w:cs="Arabic Typesetting"/>
          <w:i/>
          <w:sz w:val="40"/>
          <w:szCs w:val="40"/>
          <w:u w:val="single"/>
        </w:rPr>
      </w:pPr>
      <w:r>
        <w:rPr>
          <w:rFonts w:ascii="Century Schoolbook" w:hAnsi="Century Schoolbook" w:cs="Arabic Typesetting"/>
          <w:i/>
          <w:sz w:val="40"/>
          <w:szCs w:val="40"/>
          <w:u w:val="single"/>
        </w:rPr>
        <w:t>PODNEBJE</w:t>
      </w:r>
    </w:p>
    <w:p w:rsidR="00C6702F" w:rsidRDefault="00C6702F">
      <w:pPr>
        <w:rPr>
          <w:rFonts w:ascii="Century Schoolbook" w:hAnsi="Century Schoolbook" w:cs="Arabic Typesetting"/>
          <w:i/>
          <w:sz w:val="40"/>
          <w:szCs w:val="40"/>
          <w:u w:val="single"/>
        </w:rPr>
      </w:pPr>
    </w:p>
    <w:p w:rsidR="00C6702F" w:rsidRDefault="00C6702F">
      <w:pPr>
        <w:jc w:val="both"/>
        <w:rPr>
          <w:rFonts w:ascii="Century Schoolbook" w:hAnsi="Century Schoolbook"/>
          <w:sz w:val="36"/>
          <w:szCs w:val="36"/>
        </w:rPr>
      </w:pPr>
      <w:r>
        <w:rPr>
          <w:rFonts w:ascii="Century Schoolbook" w:hAnsi="Century Schoolbook"/>
          <w:sz w:val="36"/>
          <w:szCs w:val="36"/>
        </w:rPr>
        <w:t xml:space="preserve">Ukrajina ima večinoma zmerno celinsko podnebje, čeprav na jugu (obale Krimskega polotoka) najdemo tudi bolj sredozemsko. Največ padavin je na zahodu in severu, manj pa na vzhodu in jugovzhodu. Zime se razlikujejo; ob Črnem morju so hladne, v notranjosti pa mrzle. Poletja so povečini države topla, le na jugu večinoma vroča. </w:t>
      </w:r>
    </w:p>
    <w:p w:rsidR="00C6702F" w:rsidRDefault="00C6702F">
      <w:pPr>
        <w:rPr>
          <w:rFonts w:ascii="Century Schoolbook" w:hAnsi="Century Schoolbook"/>
          <w:sz w:val="36"/>
          <w:szCs w:val="36"/>
        </w:rPr>
      </w:pPr>
    </w:p>
    <w:p w:rsidR="00C6702F" w:rsidRDefault="00C6702F">
      <w:pPr>
        <w:rPr>
          <w:rFonts w:ascii="Century Schoolbook" w:hAnsi="Century Schoolbook"/>
          <w:sz w:val="36"/>
          <w:szCs w:val="36"/>
        </w:rPr>
      </w:pPr>
    </w:p>
    <w:p w:rsidR="00C6702F" w:rsidRDefault="00C6702F">
      <w:pPr>
        <w:numPr>
          <w:ilvl w:val="0"/>
          <w:numId w:val="1"/>
        </w:numPr>
        <w:rPr>
          <w:rFonts w:ascii="Century Schoolbook" w:hAnsi="Century Schoolbook"/>
          <w:i/>
          <w:sz w:val="40"/>
          <w:szCs w:val="40"/>
          <w:u w:val="single"/>
        </w:rPr>
      </w:pPr>
      <w:r>
        <w:rPr>
          <w:rFonts w:ascii="Century Schoolbook" w:hAnsi="Century Schoolbook"/>
          <w:i/>
          <w:sz w:val="40"/>
          <w:szCs w:val="40"/>
          <w:u w:val="single"/>
        </w:rPr>
        <w:t>POVRŠJE</w:t>
      </w:r>
    </w:p>
    <w:p w:rsidR="00C6702F" w:rsidRDefault="00C6702F">
      <w:pPr>
        <w:rPr>
          <w:rFonts w:ascii="Century Schoolbook" w:hAnsi="Century Schoolbook"/>
          <w:i/>
          <w:sz w:val="40"/>
          <w:szCs w:val="40"/>
          <w:u w:val="single"/>
        </w:rPr>
      </w:pPr>
    </w:p>
    <w:p w:rsidR="00C6702F" w:rsidRDefault="00C6702F">
      <w:pPr>
        <w:jc w:val="both"/>
        <w:rPr>
          <w:rFonts w:ascii="Century Schoolbook" w:hAnsi="Century Schoolbook"/>
          <w:sz w:val="36"/>
          <w:szCs w:val="36"/>
          <w:lang w:val="en"/>
        </w:rPr>
      </w:pPr>
      <w:r>
        <w:rPr>
          <w:rFonts w:ascii="Century Schoolbook" w:hAnsi="Century Schoolbook"/>
          <w:sz w:val="36"/>
          <w:szCs w:val="36"/>
        </w:rPr>
        <w:t xml:space="preserve">Za površinsko oblikovanost Ukrajine so značilne predvsem rodovitne ravnine, ali stepe in planote, prepredene z rekami kot so Dnjeper, Dnjester, Južni Bug in Donec, ki se iztekajo v Črno in Azovsko morje. </w:t>
      </w:r>
      <w:r>
        <w:rPr>
          <w:rFonts w:ascii="Century Schoolbook" w:hAnsi="Century Schoolbook"/>
          <w:sz w:val="36"/>
          <w:szCs w:val="36"/>
          <w:lang w:val="en"/>
        </w:rPr>
        <w:t>Na jugozahodu delta reke Donave tvori mejo z Romunijo. Edini gorovji v Ukrajini sta Karpati na zahodu in Krimske gore na jugu.</w:t>
      </w:r>
    </w:p>
    <w:p w:rsidR="00C6702F" w:rsidRDefault="00C6702F">
      <w:pPr>
        <w:rPr>
          <w:rFonts w:ascii="Century Schoolbook" w:hAnsi="Century Schoolbook"/>
          <w:sz w:val="36"/>
          <w:szCs w:val="36"/>
          <w:lang w:val="en"/>
        </w:rPr>
      </w:pPr>
    </w:p>
    <w:p w:rsidR="00C6702F" w:rsidRDefault="00C6702F">
      <w:pPr>
        <w:rPr>
          <w:rFonts w:ascii="Century Schoolbook" w:hAnsi="Century Schoolbook"/>
          <w:sz w:val="36"/>
          <w:szCs w:val="36"/>
          <w:lang w:val="en"/>
        </w:rPr>
      </w:pPr>
    </w:p>
    <w:p w:rsidR="00C6702F" w:rsidRDefault="00C6702F">
      <w:pPr>
        <w:numPr>
          <w:ilvl w:val="0"/>
          <w:numId w:val="1"/>
        </w:numPr>
        <w:rPr>
          <w:rFonts w:ascii="Century Schoolbook" w:hAnsi="Century Schoolbook"/>
          <w:i/>
          <w:sz w:val="40"/>
          <w:szCs w:val="40"/>
          <w:u w:val="single"/>
          <w:lang w:val="en"/>
        </w:rPr>
      </w:pPr>
      <w:r>
        <w:rPr>
          <w:rFonts w:ascii="Century Schoolbook" w:hAnsi="Century Schoolbook"/>
          <w:i/>
          <w:sz w:val="40"/>
          <w:szCs w:val="40"/>
          <w:u w:val="single"/>
          <w:lang w:val="en"/>
        </w:rPr>
        <w:t>PREBIVALSTVO</w:t>
      </w:r>
    </w:p>
    <w:p w:rsidR="00C6702F" w:rsidRDefault="00C6702F">
      <w:pPr>
        <w:rPr>
          <w:rFonts w:ascii="Century Schoolbook" w:hAnsi="Century Schoolbook"/>
          <w:i/>
          <w:sz w:val="40"/>
          <w:szCs w:val="40"/>
          <w:u w:val="single"/>
          <w:lang w:val="en"/>
        </w:rPr>
      </w:pPr>
    </w:p>
    <w:p w:rsidR="00C6702F" w:rsidRDefault="00C6702F">
      <w:pPr>
        <w:numPr>
          <w:ilvl w:val="0"/>
          <w:numId w:val="5"/>
        </w:numPr>
        <w:rPr>
          <w:rFonts w:ascii="Century Schoolbook" w:hAnsi="Century Schoolbook"/>
          <w:color w:val="000000"/>
          <w:sz w:val="36"/>
          <w:szCs w:val="36"/>
        </w:rPr>
      </w:pPr>
      <w:r>
        <w:rPr>
          <w:rFonts w:ascii="Century Schoolbook" w:hAnsi="Century Schoolbook"/>
          <w:color w:val="000000"/>
          <w:sz w:val="36"/>
          <w:szCs w:val="36"/>
        </w:rPr>
        <w:t>Etnične skupine:</w:t>
      </w:r>
    </w:p>
    <w:p w:rsidR="00C6702F" w:rsidRDefault="00C6702F">
      <w:pPr>
        <w:jc w:val="both"/>
        <w:rPr>
          <w:rFonts w:ascii="Century Schoolbook" w:hAnsi="Century Schoolbook"/>
          <w:sz w:val="36"/>
          <w:szCs w:val="36"/>
        </w:rPr>
      </w:pPr>
      <w:r>
        <w:rPr>
          <w:rFonts w:ascii="Century Schoolbook" w:hAnsi="Century Schoolbook"/>
          <w:sz w:val="36"/>
          <w:szCs w:val="36"/>
        </w:rPr>
        <w:t xml:space="preserve">Ukrajinci 77.8%, Rusi 17.3%, Belorusi 0.6%, Moldavci 0.5%, Bolgari 0.4%, </w:t>
      </w:r>
      <w:r>
        <w:rPr>
          <w:rFonts w:ascii="Century Schoolbook" w:hAnsi="Century Schoolbook"/>
          <w:sz w:val="36"/>
          <w:szCs w:val="36"/>
        </w:rPr>
        <w:tab/>
        <w:t>Madžari 0.3%, Romuni 0.3%, Poljaki 0.3%, Židje 0.2%, drugi 1.8%.</w:t>
      </w:r>
    </w:p>
    <w:p w:rsidR="00C6702F" w:rsidRDefault="00C6702F">
      <w:pPr>
        <w:jc w:val="both"/>
        <w:rPr>
          <w:rFonts w:ascii="Century Schoolbook" w:hAnsi="Century Schoolbook"/>
          <w:sz w:val="36"/>
          <w:szCs w:val="36"/>
        </w:rPr>
      </w:pPr>
    </w:p>
    <w:p w:rsidR="00C6702F" w:rsidRDefault="00C6702F">
      <w:pPr>
        <w:numPr>
          <w:ilvl w:val="0"/>
          <w:numId w:val="5"/>
        </w:numPr>
        <w:rPr>
          <w:rFonts w:ascii="Century Schoolbook" w:hAnsi="Century Schoolbook"/>
          <w:color w:val="000000"/>
          <w:sz w:val="36"/>
          <w:szCs w:val="36"/>
        </w:rPr>
      </w:pPr>
      <w:r>
        <w:rPr>
          <w:rFonts w:ascii="Century Schoolbook" w:hAnsi="Century Schoolbook"/>
          <w:color w:val="000000"/>
          <w:sz w:val="36"/>
          <w:szCs w:val="36"/>
        </w:rPr>
        <w:t>Religije:</w:t>
      </w:r>
    </w:p>
    <w:p w:rsidR="00C6702F" w:rsidRDefault="00C6702F">
      <w:pPr>
        <w:numPr>
          <w:ilvl w:val="1"/>
          <w:numId w:val="5"/>
        </w:numPr>
        <w:jc w:val="both"/>
        <w:rPr>
          <w:rFonts w:ascii="Century Schoolbook" w:hAnsi="Century Schoolbook"/>
          <w:sz w:val="36"/>
          <w:szCs w:val="36"/>
        </w:rPr>
      </w:pPr>
      <w:r>
        <w:rPr>
          <w:rFonts w:ascii="Century Schoolbook" w:hAnsi="Century Schoolbook"/>
          <w:sz w:val="36"/>
          <w:szCs w:val="36"/>
        </w:rPr>
        <w:t>Ukrajinska pravoslavna 44%</w:t>
      </w:r>
    </w:p>
    <w:p w:rsidR="00C6702F" w:rsidRDefault="00C6702F">
      <w:pPr>
        <w:numPr>
          <w:ilvl w:val="1"/>
          <w:numId w:val="5"/>
        </w:numPr>
        <w:jc w:val="both"/>
        <w:rPr>
          <w:rFonts w:ascii="Century Schoolbook" w:hAnsi="Century Schoolbook"/>
          <w:sz w:val="36"/>
          <w:szCs w:val="36"/>
        </w:rPr>
      </w:pPr>
      <w:r>
        <w:rPr>
          <w:rFonts w:ascii="Century Schoolbook" w:hAnsi="Century Schoolbook"/>
          <w:sz w:val="36"/>
          <w:szCs w:val="36"/>
        </w:rPr>
        <w:t>Katoliška 6%,</w:t>
      </w:r>
    </w:p>
    <w:p w:rsidR="00C6702F" w:rsidRDefault="00C6702F">
      <w:pPr>
        <w:numPr>
          <w:ilvl w:val="1"/>
          <w:numId w:val="5"/>
        </w:numPr>
        <w:jc w:val="both"/>
        <w:rPr>
          <w:rFonts w:ascii="Century Schoolbook" w:hAnsi="Century Schoolbook"/>
          <w:sz w:val="36"/>
          <w:szCs w:val="36"/>
        </w:rPr>
      </w:pPr>
      <w:r>
        <w:rPr>
          <w:rFonts w:ascii="Century Schoolbook" w:hAnsi="Century Schoolbook"/>
          <w:sz w:val="36"/>
          <w:szCs w:val="36"/>
        </w:rPr>
        <w:t>drugi (protestantje, Židje,) 38%.</w:t>
      </w:r>
    </w:p>
    <w:p w:rsidR="00C6702F" w:rsidRDefault="00C6702F">
      <w:pPr>
        <w:rPr>
          <w:rFonts w:ascii="Century Schoolbook" w:hAnsi="Century Schoolbook"/>
          <w:sz w:val="36"/>
          <w:szCs w:val="36"/>
        </w:rPr>
      </w:pPr>
    </w:p>
    <w:p w:rsidR="00C6702F" w:rsidRDefault="00C6702F">
      <w:pPr>
        <w:rPr>
          <w:rFonts w:ascii="Century Schoolbook" w:hAnsi="Century Schoolbook"/>
          <w:color w:val="000000"/>
          <w:sz w:val="36"/>
          <w:szCs w:val="36"/>
        </w:rPr>
      </w:pPr>
    </w:p>
    <w:p w:rsidR="00C6702F" w:rsidRDefault="00C6702F">
      <w:pPr>
        <w:numPr>
          <w:ilvl w:val="0"/>
          <w:numId w:val="5"/>
        </w:numPr>
        <w:jc w:val="both"/>
        <w:rPr>
          <w:rFonts w:ascii="Century Schoolbook" w:hAnsi="Century Schoolbook"/>
          <w:color w:val="000000"/>
          <w:sz w:val="36"/>
          <w:szCs w:val="36"/>
        </w:rPr>
      </w:pPr>
      <w:r>
        <w:rPr>
          <w:rFonts w:ascii="Century Schoolbook" w:hAnsi="Century Schoolbook"/>
          <w:color w:val="000000"/>
          <w:sz w:val="36"/>
          <w:szCs w:val="36"/>
        </w:rPr>
        <w:t>Jeziki</w:t>
      </w:r>
    </w:p>
    <w:p w:rsidR="00C6702F" w:rsidRDefault="00C6702F">
      <w:pPr>
        <w:jc w:val="both"/>
        <w:rPr>
          <w:rFonts w:ascii="Century Schoolbook" w:hAnsi="Century Schoolbook"/>
          <w:sz w:val="36"/>
          <w:szCs w:val="36"/>
        </w:rPr>
      </w:pPr>
      <w:r>
        <w:rPr>
          <w:rFonts w:ascii="Century Schoolbook" w:hAnsi="Century Schoolbook"/>
          <w:sz w:val="36"/>
          <w:szCs w:val="36"/>
        </w:rPr>
        <w:t>Ukrajinski (uradni) 67%, Ruski 24%; majhne romunsko, poljsko, madžarsko govoreče manjšine.</w:t>
      </w:r>
    </w:p>
    <w:p w:rsidR="00C6702F" w:rsidRDefault="00C6702F">
      <w:pPr>
        <w:rPr>
          <w:rFonts w:ascii="Century Schoolbook" w:hAnsi="Century Schoolbook"/>
          <w:sz w:val="40"/>
          <w:szCs w:val="40"/>
        </w:rPr>
      </w:pPr>
    </w:p>
    <w:p w:rsidR="00C6702F" w:rsidRDefault="00C6702F">
      <w:pPr>
        <w:rPr>
          <w:rFonts w:ascii="Century Schoolbook" w:hAnsi="Century Schoolbook"/>
          <w:sz w:val="40"/>
          <w:szCs w:val="40"/>
        </w:rPr>
      </w:pPr>
    </w:p>
    <w:p w:rsidR="00C6702F" w:rsidRDefault="00C6702F">
      <w:pPr>
        <w:numPr>
          <w:ilvl w:val="0"/>
          <w:numId w:val="1"/>
        </w:numPr>
        <w:rPr>
          <w:rFonts w:ascii="Century Schoolbook" w:hAnsi="Century Schoolbook"/>
          <w:i/>
          <w:sz w:val="40"/>
          <w:szCs w:val="40"/>
          <w:u w:val="single"/>
        </w:rPr>
      </w:pPr>
      <w:r>
        <w:rPr>
          <w:rFonts w:ascii="Century Schoolbook" w:hAnsi="Century Schoolbook"/>
          <w:i/>
          <w:sz w:val="40"/>
          <w:szCs w:val="40"/>
          <w:u w:val="single"/>
        </w:rPr>
        <w:lastRenderedPageBreak/>
        <w:t>GOSPODARSTVO</w:t>
      </w:r>
    </w:p>
    <w:p w:rsidR="00C6702F" w:rsidRDefault="00C6702F">
      <w:pPr>
        <w:rPr>
          <w:rFonts w:ascii="Century Schoolbook" w:hAnsi="Century Schoolbook"/>
          <w:i/>
          <w:sz w:val="40"/>
          <w:szCs w:val="40"/>
          <w:u w:val="single"/>
        </w:rPr>
      </w:pPr>
    </w:p>
    <w:p w:rsidR="00C6702F" w:rsidRDefault="00C6702F">
      <w:pPr>
        <w:numPr>
          <w:ilvl w:val="0"/>
          <w:numId w:val="2"/>
        </w:numPr>
        <w:jc w:val="both"/>
        <w:rPr>
          <w:rFonts w:ascii="Century Schoolbook" w:hAnsi="Century Schoolbook"/>
          <w:color w:val="000000"/>
          <w:sz w:val="36"/>
          <w:szCs w:val="36"/>
        </w:rPr>
      </w:pPr>
      <w:r>
        <w:rPr>
          <w:rFonts w:ascii="Century Schoolbook" w:hAnsi="Century Schoolbook"/>
          <w:color w:val="000000"/>
          <w:sz w:val="36"/>
          <w:szCs w:val="36"/>
        </w:rPr>
        <w:t>Naravni viri: železova ruda, premog, mangan, zemeljski plin, nafta, sol, grafit, titan, magnezij, nikelj, živo srebro, les.</w:t>
      </w:r>
    </w:p>
    <w:p w:rsidR="00C6702F" w:rsidRDefault="00C6702F">
      <w:pPr>
        <w:jc w:val="both"/>
        <w:rPr>
          <w:rFonts w:ascii="Century Schoolbook" w:hAnsi="Century Schoolbook"/>
          <w:color w:val="000000"/>
          <w:sz w:val="36"/>
          <w:szCs w:val="36"/>
        </w:rPr>
      </w:pPr>
    </w:p>
    <w:p w:rsidR="00C6702F" w:rsidRDefault="00C6702F">
      <w:pPr>
        <w:numPr>
          <w:ilvl w:val="0"/>
          <w:numId w:val="2"/>
        </w:numPr>
        <w:jc w:val="both"/>
        <w:rPr>
          <w:rFonts w:ascii="Century Schoolbook" w:hAnsi="Century Schoolbook"/>
          <w:color w:val="000000"/>
          <w:sz w:val="36"/>
          <w:szCs w:val="36"/>
        </w:rPr>
      </w:pPr>
      <w:r>
        <w:rPr>
          <w:rFonts w:ascii="Century Schoolbook" w:hAnsi="Century Schoolbook"/>
          <w:color w:val="000000"/>
          <w:sz w:val="36"/>
          <w:szCs w:val="36"/>
        </w:rPr>
        <w:t>Industrija: premogovništvo, elektrarne, jeklarne in železarne, kovinska industrija, tovarne strojev in orodij, kemična industrija, rafinerije, predelava hrane (sladkor).</w:t>
      </w:r>
    </w:p>
    <w:p w:rsidR="00C6702F" w:rsidRDefault="00C6702F">
      <w:pPr>
        <w:jc w:val="both"/>
        <w:rPr>
          <w:rFonts w:ascii="Century Schoolbook" w:hAnsi="Century Schoolbook"/>
          <w:color w:val="000000"/>
          <w:sz w:val="36"/>
          <w:szCs w:val="36"/>
        </w:rPr>
      </w:pPr>
    </w:p>
    <w:p w:rsidR="00C6702F" w:rsidRDefault="00C6702F">
      <w:pPr>
        <w:numPr>
          <w:ilvl w:val="0"/>
          <w:numId w:val="2"/>
        </w:numPr>
        <w:jc w:val="both"/>
        <w:rPr>
          <w:rFonts w:ascii="Century Schoolbook" w:hAnsi="Century Schoolbook"/>
          <w:color w:val="000000"/>
          <w:sz w:val="36"/>
          <w:szCs w:val="36"/>
        </w:rPr>
      </w:pPr>
      <w:r>
        <w:rPr>
          <w:rFonts w:ascii="Century Schoolbook" w:hAnsi="Century Schoolbook"/>
          <w:color w:val="000000"/>
          <w:sz w:val="36"/>
          <w:szCs w:val="36"/>
        </w:rPr>
        <w:t xml:space="preserve">Kmetijski pridelki: žito, sladkorna pesa, sončnice, zelenjava; govedoreja, mleko. </w:t>
      </w:r>
    </w:p>
    <w:p w:rsidR="00C6702F" w:rsidRDefault="00C6702F">
      <w:pPr>
        <w:rPr>
          <w:rFonts w:ascii="Century Schoolbook" w:hAnsi="Century Schoolbook"/>
          <w:color w:val="000000"/>
          <w:sz w:val="36"/>
          <w:szCs w:val="36"/>
        </w:rPr>
      </w:pPr>
    </w:p>
    <w:p w:rsidR="00C6702F" w:rsidRDefault="00C6702F">
      <w:pPr>
        <w:rPr>
          <w:rFonts w:ascii="Century Schoolbook" w:hAnsi="Century Schoolbook"/>
          <w:color w:val="000000"/>
          <w:sz w:val="36"/>
          <w:szCs w:val="36"/>
        </w:rPr>
      </w:pPr>
    </w:p>
    <w:p w:rsidR="00C6702F" w:rsidRDefault="00C6702F">
      <w:pPr>
        <w:numPr>
          <w:ilvl w:val="0"/>
          <w:numId w:val="1"/>
        </w:numPr>
        <w:rPr>
          <w:rFonts w:ascii="Century Schoolbook" w:hAnsi="Century Schoolbook"/>
          <w:i/>
          <w:color w:val="000000"/>
          <w:sz w:val="40"/>
          <w:szCs w:val="40"/>
          <w:u w:val="single"/>
        </w:rPr>
      </w:pPr>
      <w:r>
        <w:rPr>
          <w:rFonts w:ascii="Century Schoolbook" w:hAnsi="Century Schoolbook"/>
          <w:i/>
          <w:color w:val="000000"/>
          <w:sz w:val="40"/>
          <w:szCs w:val="40"/>
          <w:u w:val="single"/>
        </w:rPr>
        <w:t>OKOLJE-TRENUTNI PROBLEMI</w:t>
      </w:r>
    </w:p>
    <w:p w:rsidR="00C6702F" w:rsidRDefault="00C6702F">
      <w:pPr>
        <w:rPr>
          <w:rFonts w:ascii="Century Schoolbook" w:hAnsi="Century Schoolbook"/>
          <w:i/>
          <w:color w:val="000000"/>
          <w:sz w:val="36"/>
          <w:szCs w:val="36"/>
          <w:u w:val="single"/>
        </w:rPr>
      </w:pPr>
    </w:p>
    <w:p w:rsidR="00C6702F" w:rsidRDefault="00C6702F">
      <w:pPr>
        <w:numPr>
          <w:ilvl w:val="0"/>
          <w:numId w:val="3"/>
        </w:numPr>
        <w:jc w:val="both"/>
        <w:rPr>
          <w:rFonts w:ascii="Century Schoolbook" w:hAnsi="Century Schoolbook"/>
          <w:sz w:val="36"/>
          <w:szCs w:val="36"/>
        </w:rPr>
      </w:pPr>
      <w:r>
        <w:rPr>
          <w:rFonts w:ascii="Century Schoolbook" w:hAnsi="Century Schoolbook"/>
          <w:sz w:val="36"/>
          <w:szCs w:val="36"/>
        </w:rPr>
        <w:t xml:space="preserve">pomanjkanje zalog pitne vode, </w:t>
      </w:r>
    </w:p>
    <w:p w:rsidR="00C6702F" w:rsidRDefault="00C6702F">
      <w:pPr>
        <w:numPr>
          <w:ilvl w:val="0"/>
          <w:numId w:val="6"/>
        </w:numPr>
        <w:jc w:val="both"/>
        <w:rPr>
          <w:rFonts w:ascii="Century Schoolbook" w:hAnsi="Century Schoolbook"/>
          <w:sz w:val="36"/>
          <w:szCs w:val="36"/>
        </w:rPr>
      </w:pPr>
      <w:r>
        <w:rPr>
          <w:rFonts w:ascii="Century Schoolbook" w:hAnsi="Century Schoolbook"/>
          <w:sz w:val="36"/>
          <w:szCs w:val="36"/>
        </w:rPr>
        <w:t>onesnaženost zraka in vode.</w:t>
      </w:r>
    </w:p>
    <w:p w:rsidR="00C6702F" w:rsidRDefault="00C6702F">
      <w:pPr>
        <w:numPr>
          <w:ilvl w:val="0"/>
          <w:numId w:val="6"/>
        </w:numPr>
        <w:jc w:val="both"/>
        <w:rPr>
          <w:rFonts w:ascii="Century Schoolbook" w:hAnsi="Century Schoolbook"/>
          <w:sz w:val="36"/>
          <w:szCs w:val="36"/>
        </w:rPr>
      </w:pPr>
      <w:r>
        <w:rPr>
          <w:rFonts w:ascii="Century Schoolbook" w:hAnsi="Century Schoolbook"/>
          <w:sz w:val="36"/>
          <w:szCs w:val="36"/>
        </w:rPr>
        <w:t>krčenje gozdov,</w:t>
      </w:r>
    </w:p>
    <w:p w:rsidR="00C6702F" w:rsidRDefault="00C6702F">
      <w:pPr>
        <w:numPr>
          <w:ilvl w:val="0"/>
          <w:numId w:val="6"/>
        </w:numPr>
        <w:jc w:val="both"/>
        <w:rPr>
          <w:rFonts w:ascii="Century Schoolbook" w:hAnsi="Century Schoolbook"/>
          <w:sz w:val="36"/>
          <w:szCs w:val="36"/>
        </w:rPr>
      </w:pPr>
      <w:r>
        <w:rPr>
          <w:rFonts w:ascii="Century Schoolbook" w:hAnsi="Century Schoolbook"/>
          <w:sz w:val="36"/>
          <w:szCs w:val="36"/>
        </w:rPr>
        <w:t>radioaktivno onesnaženje na severovzhodu zaradi nesreče v Černobilski jedrski elektrarni leta 1986.</w:t>
      </w:r>
    </w:p>
    <w:sectPr w:rsidR="00C6702F">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10"/>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8D7"/>
    <w:rsid w:val="006048D7"/>
    <w:rsid w:val="00731AE3"/>
    <w:rsid w:val="00967E69"/>
    <w:rsid w:val="00B43627"/>
    <w:rsid w:val="00C670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5">
    <w:name w:val="WW8Num5z5"/>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Privzetapisavaodstavka">
    <w:name w:val="Privzeta pisava odstavka"/>
  </w:style>
  <w:style w:type="character" w:styleId="PageNumber">
    <w:name w:val="page number"/>
    <w:basedOn w:val="Privzetapisavaodstavka"/>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