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EB6D" w14:textId="77777777" w:rsidR="00BC0934" w:rsidRDefault="00BC0934">
      <w:pPr>
        <w:pStyle w:val="Brezrazmikov"/>
        <w:rPr>
          <w:b/>
          <w:color w:val="FF0000"/>
          <w:sz w:val="36"/>
          <w:lang w:val="sl-SI"/>
        </w:rPr>
      </w:pPr>
      <w:bookmarkStart w:id="0" w:name="_GoBack"/>
      <w:bookmarkEnd w:id="0"/>
    </w:p>
    <w:p w14:paraId="2CFD3CC7" w14:textId="77777777" w:rsidR="00BC0934" w:rsidRDefault="00BC0934">
      <w:pPr>
        <w:pStyle w:val="Brezrazmikov"/>
        <w:rPr>
          <w:b/>
          <w:color w:val="FF0000"/>
          <w:sz w:val="36"/>
          <w:lang w:val="sl-SI"/>
        </w:rPr>
      </w:pPr>
    </w:p>
    <w:p w14:paraId="4DF0F34E" w14:textId="419C873E" w:rsidR="00571EDE" w:rsidRDefault="00303E1E">
      <w:pPr>
        <w:pStyle w:val="Brezrazmikov"/>
        <w:rPr>
          <w:b/>
          <w:color w:val="FF0000"/>
          <w:sz w:val="36"/>
          <w:lang w:val="sl-SI"/>
        </w:rPr>
      </w:pPr>
      <w:r>
        <w:rPr>
          <w:b/>
          <w:color w:val="FF0000"/>
          <w:sz w:val="36"/>
          <w:lang w:val="sl-SI"/>
        </w:rPr>
        <w:t>DRŽAVE BENELUX</w:t>
      </w:r>
    </w:p>
    <w:p w14:paraId="2FB2E7CE" w14:textId="77777777" w:rsidR="00571EDE" w:rsidRDefault="00571EDE">
      <w:pPr>
        <w:pStyle w:val="Brezrazmikov"/>
        <w:rPr>
          <w:lang w:val="sl-SI"/>
        </w:rPr>
      </w:pPr>
    </w:p>
    <w:p w14:paraId="7D7395F6" w14:textId="77777777" w:rsidR="00571EDE" w:rsidRDefault="00303E1E">
      <w:pPr>
        <w:pStyle w:val="Brezrazmikov"/>
        <w:rPr>
          <w:lang w:val="sl-SI"/>
        </w:rPr>
      </w:pPr>
      <w:r>
        <w:rPr>
          <w:lang w:val="sl-SI"/>
        </w:rPr>
        <w:t xml:space="preserve">Po 2sv so se Belgija, Nizozemska in Luxemburg postopoma povezale v carinsko in gospodarsko zvezo, kjer se različna gospodarska usmerjenost dobro dopolnjuje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 xml:space="preserve">gospodarsko visoko razvite države, visok standard 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>med najvišjimi na svetu</w:t>
      </w:r>
    </w:p>
    <w:p w14:paraId="564CED2F" w14:textId="77777777" w:rsidR="00571EDE" w:rsidRDefault="00571EDE">
      <w:pPr>
        <w:pStyle w:val="Brezrazmikov"/>
        <w:rPr>
          <w:lang w:val="sl-SI"/>
        </w:rPr>
      </w:pPr>
    </w:p>
    <w:p w14:paraId="603416CA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GLAVNE RELIEFNE ZNAČILNOST:</w:t>
      </w:r>
    </w:p>
    <w:p w14:paraId="495B20BE" w14:textId="77777777" w:rsidR="00571EDE" w:rsidRDefault="00303E1E">
      <w:pPr>
        <w:pStyle w:val="Brezrazmikov"/>
        <w:rPr>
          <w:lang w:val="sl-SI"/>
        </w:rPr>
      </w:pPr>
      <w:r>
        <w:rPr>
          <w:lang w:val="sl-SI"/>
        </w:rPr>
        <w:t>Prevladuje nižinski svet zahodnega dela Nemško poljskega nižavja (od obale proti notranjosti)</w:t>
      </w:r>
    </w:p>
    <w:p w14:paraId="4803FF4D" w14:textId="77777777" w:rsidR="00571EDE" w:rsidRDefault="00571EDE">
      <w:pPr>
        <w:pStyle w:val="Brezrazmikov"/>
        <w:rPr>
          <w:lang w:val="sl-SI"/>
        </w:rPr>
      </w:pPr>
    </w:p>
    <w:p w14:paraId="5C66047D" w14:textId="77777777" w:rsidR="00571EDE" w:rsidRDefault="00303E1E">
      <w:pPr>
        <w:pStyle w:val="Brezrazmikov"/>
        <w:rPr>
          <w:b/>
          <w:color w:val="365F91"/>
          <w:sz w:val="24"/>
          <w:lang w:val="sl-SI"/>
        </w:rPr>
      </w:pPr>
      <w:r>
        <w:rPr>
          <w:b/>
          <w:color w:val="365F91"/>
          <w:sz w:val="24"/>
          <w:lang w:val="sl-SI"/>
        </w:rPr>
        <w:t>Nizek del:</w:t>
      </w:r>
    </w:p>
    <w:p w14:paraId="50C70F3E" w14:textId="77777777" w:rsidR="00571EDE" w:rsidRDefault="00303E1E">
      <w:pPr>
        <w:pStyle w:val="Brezrazmikov"/>
        <w:numPr>
          <w:ilvl w:val="0"/>
          <w:numId w:val="10"/>
        </w:numPr>
        <w:rPr>
          <w:lang w:val="sl-SI"/>
        </w:rPr>
      </w:pPr>
      <w:r>
        <w:rPr>
          <w:lang w:val="sl-SI"/>
        </w:rPr>
        <w:t>Akumulacijska obala in peščeni nasipi</w:t>
      </w:r>
    </w:p>
    <w:p w14:paraId="7FA0A392" w14:textId="77777777" w:rsidR="00571EDE" w:rsidRDefault="00303E1E">
      <w:pPr>
        <w:pStyle w:val="Brezrazmikov"/>
        <w:numPr>
          <w:ilvl w:val="0"/>
          <w:numId w:val="10"/>
        </w:numPr>
        <w:rPr>
          <w:lang w:val="sl-SI"/>
        </w:rPr>
      </w:pPr>
      <w:r>
        <w:rPr>
          <w:lang w:val="sl-SI"/>
        </w:rPr>
        <w:t>Marši in polderji (drobni pesek in glina –nasipi)</w:t>
      </w:r>
    </w:p>
    <w:p w14:paraId="50B02760" w14:textId="77777777" w:rsidR="00571EDE" w:rsidRDefault="00303E1E">
      <w:pPr>
        <w:pStyle w:val="Brezrazmikov"/>
        <w:rPr>
          <w:b/>
          <w:color w:val="365F91"/>
          <w:sz w:val="24"/>
          <w:lang w:val="sl-SI"/>
        </w:rPr>
      </w:pPr>
      <w:r>
        <w:rPr>
          <w:b/>
          <w:color w:val="365F91"/>
          <w:sz w:val="24"/>
          <w:lang w:val="sl-SI"/>
        </w:rPr>
        <w:t>Višji del:</w:t>
      </w:r>
    </w:p>
    <w:p w14:paraId="10E37A26" w14:textId="77777777" w:rsidR="00571EDE" w:rsidRDefault="00303E1E">
      <w:pPr>
        <w:pStyle w:val="Brezrazmikov"/>
        <w:numPr>
          <w:ilvl w:val="0"/>
          <w:numId w:val="7"/>
        </w:numPr>
        <w:rPr>
          <w:lang w:val="sl-SI"/>
        </w:rPr>
      </w:pPr>
      <w:r>
        <w:rPr>
          <w:lang w:val="sl-SI"/>
        </w:rPr>
        <w:t>Višji peščeni gesto – valovite peščeno prodnate ravnine, reke so jih nanesle v ledeni dobi</w:t>
      </w:r>
    </w:p>
    <w:p w14:paraId="01D1C958" w14:textId="77777777" w:rsidR="00571EDE" w:rsidRDefault="00303E1E">
      <w:pPr>
        <w:pStyle w:val="Brezrazmikov"/>
        <w:numPr>
          <w:ilvl w:val="0"/>
          <w:numId w:val="7"/>
        </w:numPr>
        <w:rPr>
          <w:lang w:val="sl-SI"/>
        </w:rPr>
      </w:pPr>
      <w:r>
        <w:rPr>
          <w:lang w:val="sl-SI"/>
        </w:rPr>
        <w:t>Na JV se dviga višji gričevnati in hriboviti svet Ardenov (hercinsko gorstvo –premog)</w:t>
      </w:r>
    </w:p>
    <w:p w14:paraId="6825D7A9" w14:textId="77777777" w:rsidR="00571EDE" w:rsidRDefault="00571EDE">
      <w:pPr>
        <w:pStyle w:val="Brezrazmikov"/>
        <w:rPr>
          <w:lang w:val="sl-SI"/>
        </w:rPr>
      </w:pPr>
    </w:p>
    <w:p w14:paraId="0ECF4C10" w14:textId="77777777" w:rsidR="00571EDE" w:rsidRDefault="00303E1E">
      <w:pPr>
        <w:pStyle w:val="Brezrazmikov"/>
        <w:rPr>
          <w:lang w:val="sl-SI"/>
        </w:rPr>
      </w:pPr>
      <w:r>
        <w:rPr>
          <w:b/>
          <w:color w:val="365F91"/>
          <w:sz w:val="24"/>
          <w:lang w:val="sl-SI"/>
        </w:rPr>
        <w:t>Podnebje</w:t>
      </w:r>
      <w:r>
        <w:rPr>
          <w:lang w:val="sl-SI"/>
        </w:rPr>
        <w:t xml:space="preserve"> : oceansko (jan -2 do 4, jul 17 do 18, 700 do 900mm)</w:t>
      </w:r>
    </w:p>
    <w:p w14:paraId="41A5A7E0" w14:textId="77777777" w:rsidR="00571EDE" w:rsidRDefault="00571EDE">
      <w:pPr>
        <w:pStyle w:val="Brezrazmikov"/>
        <w:rPr>
          <w:lang w:val="sl-SI"/>
        </w:rPr>
      </w:pPr>
    </w:p>
    <w:p w14:paraId="0B2620B5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JEZIKOVNA SESTAVA BENELUXA</w:t>
      </w:r>
    </w:p>
    <w:p w14:paraId="50C17B8C" w14:textId="77777777" w:rsidR="00571EDE" w:rsidRDefault="00303E1E">
      <w:pPr>
        <w:pStyle w:val="Brezrazmikov"/>
        <w:rPr>
          <w:lang w:val="sl-SI"/>
        </w:rPr>
      </w:pPr>
      <w:r>
        <w:rPr>
          <w:lang w:val="sl-SI"/>
        </w:rPr>
        <w:t>Prepletanje romanske in germanske kulture</w:t>
      </w:r>
    </w:p>
    <w:p w14:paraId="29AD81C0" w14:textId="77777777" w:rsidR="00571EDE" w:rsidRDefault="00303E1E">
      <w:pPr>
        <w:pStyle w:val="Brezrazmikov"/>
        <w:numPr>
          <w:ilvl w:val="0"/>
          <w:numId w:val="1"/>
        </w:numPr>
        <w:rPr>
          <w:lang w:val="sl-SI"/>
        </w:rPr>
      </w:pPr>
      <w:r>
        <w:rPr>
          <w:lang w:val="sl-SI"/>
        </w:rPr>
        <w:t>Germanska: Frizijci, Nizozemci, Luxemburžani, Nemci, Flamci</w:t>
      </w:r>
    </w:p>
    <w:p w14:paraId="00577F11" w14:textId="77777777" w:rsidR="00571EDE" w:rsidRDefault="00303E1E">
      <w:pPr>
        <w:pStyle w:val="Brezrazmikov"/>
        <w:numPr>
          <w:ilvl w:val="0"/>
          <w:numId w:val="1"/>
        </w:numPr>
        <w:rPr>
          <w:lang w:val="sl-SI"/>
        </w:rPr>
      </w:pPr>
      <w:r>
        <w:rPr>
          <w:lang w:val="sl-SI"/>
        </w:rPr>
        <w:t>Romanska: v J Belgiji živeči francosko govoreči Valonci</w:t>
      </w:r>
    </w:p>
    <w:p w14:paraId="37B25A43" w14:textId="77777777" w:rsidR="00571EDE" w:rsidRDefault="00571EDE">
      <w:pPr>
        <w:pStyle w:val="Brezrazmikov"/>
        <w:rPr>
          <w:lang w:val="sl-SI"/>
        </w:rPr>
      </w:pPr>
    </w:p>
    <w:p w14:paraId="503D80D3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NAJVEČJA GOSTOTA PREBIVALSTVA V EVROPI</w:t>
      </w:r>
    </w:p>
    <w:p w14:paraId="628407A0" w14:textId="77777777" w:rsidR="00571EDE" w:rsidRDefault="00303E1E">
      <w:pPr>
        <w:pStyle w:val="Brezrazmikov"/>
        <w:numPr>
          <w:ilvl w:val="0"/>
          <w:numId w:val="8"/>
        </w:numPr>
        <w:rPr>
          <w:lang w:val="sl-SI"/>
        </w:rPr>
      </w:pPr>
      <w:r>
        <w:rPr>
          <w:lang w:val="sl-SI"/>
        </w:rPr>
        <w:t>Nizozemska : 361 preb/km</w:t>
      </w:r>
    </w:p>
    <w:p w14:paraId="7E257151" w14:textId="77777777" w:rsidR="00571EDE" w:rsidRDefault="00303E1E">
      <w:pPr>
        <w:pStyle w:val="Brezrazmikov"/>
        <w:numPr>
          <w:ilvl w:val="0"/>
          <w:numId w:val="8"/>
        </w:numPr>
        <w:rPr>
          <w:lang w:val="sl-SI"/>
        </w:rPr>
      </w:pPr>
      <w:r>
        <w:rPr>
          <w:lang w:val="sl-SI"/>
        </w:rPr>
        <w:t>Belgija: 327 preb/km</w:t>
      </w:r>
    </w:p>
    <w:p w14:paraId="7D793BB7" w14:textId="77777777" w:rsidR="00571EDE" w:rsidRDefault="00303E1E">
      <w:pPr>
        <w:pStyle w:val="Brezrazmikov"/>
        <w:rPr>
          <w:b/>
          <w:color w:val="365F91"/>
          <w:sz w:val="24"/>
          <w:lang w:val="sl-SI"/>
        </w:rPr>
      </w:pPr>
      <w:r>
        <w:rPr>
          <w:b/>
          <w:color w:val="365F91"/>
          <w:sz w:val="24"/>
          <w:lang w:val="sl-SI"/>
        </w:rPr>
        <w:t>Vzroki:</w:t>
      </w:r>
    </w:p>
    <w:p w14:paraId="2EF4CF19" w14:textId="77777777" w:rsidR="00571EDE" w:rsidRDefault="00303E1E">
      <w:pPr>
        <w:pStyle w:val="Brezrazmikov"/>
        <w:numPr>
          <w:ilvl w:val="0"/>
          <w:numId w:val="11"/>
        </w:numPr>
        <w:rPr>
          <w:lang w:val="sl-SI"/>
        </w:rPr>
      </w:pPr>
      <w:r>
        <w:rPr>
          <w:lang w:val="sl-SI"/>
        </w:rPr>
        <w:t>Geografska lega</w:t>
      </w:r>
    </w:p>
    <w:p w14:paraId="00B9B00D" w14:textId="77777777" w:rsidR="00571EDE" w:rsidRDefault="00303E1E">
      <w:pPr>
        <w:pStyle w:val="Brezrazmikov"/>
        <w:numPr>
          <w:ilvl w:val="0"/>
          <w:numId w:val="11"/>
        </w:numPr>
        <w:rPr>
          <w:lang w:val="sl-SI"/>
        </w:rPr>
      </w:pPr>
      <w:r>
        <w:rPr>
          <w:lang w:val="sl-SI"/>
        </w:rPr>
        <w:t>Tranzitni položaj med VB, Francijo in Nemčijo</w:t>
      </w:r>
    </w:p>
    <w:p w14:paraId="6EA39E83" w14:textId="77777777" w:rsidR="00571EDE" w:rsidRDefault="00303E1E">
      <w:pPr>
        <w:pStyle w:val="Brezrazmikov"/>
        <w:numPr>
          <w:ilvl w:val="0"/>
          <w:numId w:val="11"/>
        </w:numPr>
        <w:rPr>
          <w:lang w:val="sl-SI"/>
        </w:rPr>
      </w:pPr>
      <w:r>
        <w:rPr>
          <w:lang w:val="sl-SI"/>
        </w:rPr>
        <w:t>Prometna vloga</w:t>
      </w:r>
    </w:p>
    <w:p w14:paraId="160505D9" w14:textId="77777777" w:rsidR="00571EDE" w:rsidRDefault="00571EDE">
      <w:pPr>
        <w:pStyle w:val="Brezrazmikov"/>
        <w:rPr>
          <w:lang w:val="sl-SI"/>
        </w:rPr>
      </w:pPr>
    </w:p>
    <w:p w14:paraId="59BE1765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RANDSTAND HOLAND</w:t>
      </w:r>
    </w:p>
    <w:p w14:paraId="6C94550E" w14:textId="77777777" w:rsidR="00571EDE" w:rsidRDefault="00303E1E">
      <w:pPr>
        <w:pStyle w:val="Brezrazmikov"/>
        <w:numPr>
          <w:ilvl w:val="0"/>
          <w:numId w:val="4"/>
        </w:numPr>
        <w:rPr>
          <w:lang w:val="sl-SI"/>
        </w:rPr>
      </w:pPr>
      <w:r>
        <w:rPr>
          <w:lang w:val="sl-SI"/>
        </w:rPr>
        <w:t>Ogromna konurbacija  (somestje)</w:t>
      </w:r>
    </w:p>
    <w:p w14:paraId="118FF259" w14:textId="77777777" w:rsidR="00571EDE" w:rsidRDefault="00303E1E">
      <w:pPr>
        <w:pStyle w:val="Brezrazmikov"/>
        <w:numPr>
          <w:ilvl w:val="0"/>
          <w:numId w:val="4"/>
        </w:numPr>
        <w:rPr>
          <w:lang w:val="sl-SI"/>
        </w:rPr>
      </w:pPr>
      <w:r>
        <w:rPr>
          <w:lang w:val="sl-SI"/>
        </w:rPr>
        <w:t>Skupek mest (Rotterdam, Amstrerdam, Utrecht) razporejenih v obliki podkve v Z delu Niz.</w:t>
      </w:r>
    </w:p>
    <w:p w14:paraId="5A510856" w14:textId="77777777" w:rsidR="00571EDE" w:rsidRDefault="00303E1E">
      <w:pPr>
        <w:pStyle w:val="Brezrazmikov"/>
        <w:numPr>
          <w:ilvl w:val="0"/>
          <w:numId w:val="4"/>
        </w:numPr>
        <w:rPr>
          <w:lang w:val="sl-SI"/>
        </w:rPr>
      </w:pPr>
      <w:r>
        <w:rPr>
          <w:lang w:val="sl-SI"/>
        </w:rPr>
        <w:t>Tu živi 40% preb</w:t>
      </w:r>
    </w:p>
    <w:p w14:paraId="71B9BA6F" w14:textId="77777777" w:rsidR="00571EDE" w:rsidRDefault="00303E1E">
      <w:pPr>
        <w:pStyle w:val="Brezrazmikov"/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Funkcije velikih mest se dopolnjujejo (Amsterdam-kulturno,finančno in trgovsko središče; Haag-sedež vlade; Rotterdam- pristanišče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>Europort)</w:t>
      </w:r>
    </w:p>
    <w:p w14:paraId="7D322371" w14:textId="77777777" w:rsidR="00571EDE" w:rsidRDefault="00571EDE">
      <w:pPr>
        <w:pStyle w:val="Brezrazmikov"/>
        <w:rPr>
          <w:lang w:val="sl-SI"/>
        </w:rPr>
      </w:pPr>
    </w:p>
    <w:p w14:paraId="07868E48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GOSPODARSKA USMERJENOST LUXEMBURGA</w:t>
      </w:r>
    </w:p>
    <w:p w14:paraId="500D06BE" w14:textId="77777777" w:rsidR="00571EDE" w:rsidRDefault="00303E1E">
      <w:pPr>
        <w:pStyle w:val="Brezrazmikov"/>
        <w:numPr>
          <w:ilvl w:val="0"/>
          <w:numId w:val="6"/>
        </w:numPr>
        <w:rPr>
          <w:lang w:val="sl-SI"/>
        </w:rPr>
      </w:pPr>
      <w:r>
        <w:rPr>
          <w:lang w:val="sl-SI"/>
        </w:rPr>
        <w:t>Tradicionalna jeklarska industrija, ki temelji na domači lorenski rudi (Lorena) in uvoženem premogu (Porurje)</w:t>
      </w:r>
    </w:p>
    <w:p w14:paraId="1EC895C5" w14:textId="77777777" w:rsidR="00571EDE" w:rsidRDefault="00303E1E">
      <w:pPr>
        <w:pStyle w:val="Brezrazmikov"/>
        <w:numPr>
          <w:ilvl w:val="0"/>
          <w:numId w:val="6"/>
        </w:numPr>
        <w:rPr>
          <w:lang w:val="sl-SI"/>
        </w:rPr>
      </w:pPr>
      <w:r>
        <w:rPr>
          <w:lang w:val="sl-SI"/>
        </w:rPr>
        <w:t>Kneževina je v zadnjih letih z ugodno davčno politiko postala pomembno svetovno finančno središče</w:t>
      </w:r>
    </w:p>
    <w:p w14:paraId="10266BE1" w14:textId="77777777" w:rsidR="00571EDE" w:rsidRDefault="00303E1E">
      <w:pPr>
        <w:pStyle w:val="Brezrazmikov"/>
        <w:numPr>
          <w:ilvl w:val="0"/>
          <w:numId w:val="6"/>
        </w:numPr>
        <w:rPr>
          <w:lang w:val="sl-SI"/>
        </w:rPr>
      </w:pPr>
      <w:r>
        <w:rPr>
          <w:lang w:val="sl-SI"/>
        </w:rPr>
        <w:t xml:space="preserve">Vedno večjo vlogo pa ima turizem </w:t>
      </w:r>
      <w:r>
        <w:rPr>
          <w:rFonts w:ascii="Wingdings" w:hAnsi="Wingdings"/>
          <w:lang w:val="sl-SI"/>
        </w:rPr>
        <w:t></w:t>
      </w:r>
      <w:r>
        <w:rPr>
          <w:lang w:val="sl-SI"/>
        </w:rPr>
        <w:t>najmanjša država Zahodne Evrope</w:t>
      </w:r>
    </w:p>
    <w:p w14:paraId="2D054AE4" w14:textId="77777777" w:rsidR="00571EDE" w:rsidRDefault="00303E1E">
      <w:pPr>
        <w:pStyle w:val="Brezrazmikov"/>
        <w:numPr>
          <w:ilvl w:val="0"/>
          <w:numId w:val="6"/>
        </w:numPr>
        <w:rPr>
          <w:lang w:val="sl-SI"/>
        </w:rPr>
      </w:pPr>
      <w:r>
        <w:rPr>
          <w:lang w:val="sl-SI"/>
        </w:rPr>
        <w:t>Francoski, nemški in luxemburški jezik</w:t>
      </w:r>
    </w:p>
    <w:p w14:paraId="3F16D07D" w14:textId="77777777" w:rsidR="00571EDE" w:rsidRDefault="00571EDE">
      <w:pPr>
        <w:pStyle w:val="Brezrazmikov"/>
        <w:rPr>
          <w:lang w:val="sl-SI"/>
        </w:rPr>
      </w:pPr>
    </w:p>
    <w:p w14:paraId="69492612" w14:textId="77777777" w:rsidR="00571EDE" w:rsidRDefault="00571EDE">
      <w:pPr>
        <w:pStyle w:val="Brezrazmikov"/>
        <w:rPr>
          <w:lang w:val="sl-SI"/>
        </w:rPr>
      </w:pPr>
    </w:p>
    <w:p w14:paraId="36467880" w14:textId="77777777" w:rsidR="00571EDE" w:rsidRDefault="00571EDE">
      <w:pPr>
        <w:pStyle w:val="Brezrazmikov"/>
        <w:rPr>
          <w:lang w:val="sl-SI"/>
        </w:rPr>
      </w:pPr>
    </w:p>
    <w:p w14:paraId="488998EC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BELGIJSKA INDUSTRIJA:</w:t>
      </w:r>
    </w:p>
    <w:p w14:paraId="61BC6814" w14:textId="77777777" w:rsidR="00571EDE" w:rsidRDefault="00303E1E">
      <w:pPr>
        <w:pStyle w:val="Brezrazmikov"/>
        <w:rPr>
          <w:lang w:val="sl-SI"/>
        </w:rPr>
      </w:pPr>
      <w:r>
        <w:rPr>
          <w:lang w:val="sl-SI"/>
        </w:rPr>
        <w:t>Belgija je v primerjavi z Nizozemsko predvsem ind država, ki temelji na:</w:t>
      </w:r>
    </w:p>
    <w:p w14:paraId="13F1B903" w14:textId="77777777" w:rsidR="00571EDE" w:rsidRDefault="00303E1E">
      <w:pPr>
        <w:pStyle w:val="Brezrazmikov"/>
        <w:numPr>
          <w:ilvl w:val="0"/>
          <w:numId w:val="9"/>
        </w:numPr>
        <w:rPr>
          <w:lang w:val="sl-SI"/>
        </w:rPr>
      </w:pPr>
      <w:r>
        <w:rPr>
          <w:lang w:val="sl-SI"/>
        </w:rPr>
        <w:t>Tradiciji (stara težka ind, ob premogovnikih v vznožju Ardenov)</w:t>
      </w:r>
    </w:p>
    <w:p w14:paraId="3B53513A" w14:textId="77777777" w:rsidR="00571EDE" w:rsidRDefault="00303E1E">
      <w:pPr>
        <w:pStyle w:val="Brezrazmikov"/>
        <w:numPr>
          <w:ilvl w:val="0"/>
          <w:numId w:val="9"/>
        </w:numPr>
        <w:rPr>
          <w:lang w:val="sl-SI"/>
        </w:rPr>
      </w:pPr>
      <w:r>
        <w:rPr>
          <w:lang w:val="sl-SI"/>
        </w:rPr>
        <w:t>Uvoženi železovi rudi</w:t>
      </w:r>
    </w:p>
    <w:p w14:paraId="065FED33" w14:textId="77777777" w:rsidR="00571EDE" w:rsidRDefault="00303E1E">
      <w:pPr>
        <w:pStyle w:val="Brezrazmikov"/>
        <w:rPr>
          <w:lang w:val="sl-SI"/>
        </w:rPr>
      </w:pPr>
      <w:r>
        <w:rPr>
          <w:lang w:val="sl-SI"/>
        </w:rPr>
        <w:t>Kriza v črni metalurgiji, rudarstvu in tekstilni ind v 70 letih je spremenila industrijo:</w:t>
      </w:r>
    </w:p>
    <w:p w14:paraId="291B69D0" w14:textId="77777777" w:rsidR="00571EDE" w:rsidRDefault="00303E1E">
      <w:pPr>
        <w:pStyle w:val="Brezrazmikov"/>
        <w:numPr>
          <w:ilvl w:val="0"/>
          <w:numId w:val="5"/>
        </w:numPr>
        <w:rPr>
          <w:lang w:val="sl-SI"/>
        </w:rPr>
      </w:pPr>
      <w:r>
        <w:rPr>
          <w:lang w:val="sl-SI"/>
        </w:rPr>
        <w:t>Uveljavitev novih sodobnih ind panog  (kemična, elektrotehnična in elektronska)</w:t>
      </w:r>
    </w:p>
    <w:p w14:paraId="1BB71174" w14:textId="77777777" w:rsidR="00571EDE" w:rsidRDefault="00303E1E">
      <w:pPr>
        <w:pStyle w:val="Brezrazmikov"/>
        <w:numPr>
          <w:ilvl w:val="0"/>
          <w:numId w:val="5"/>
        </w:numPr>
        <w:rPr>
          <w:lang w:val="sl-SI"/>
        </w:rPr>
      </w:pPr>
      <w:r>
        <w:rPr>
          <w:lang w:val="sl-SI"/>
        </w:rPr>
        <w:t>Nova prostorska razmestitev ind</w:t>
      </w:r>
    </w:p>
    <w:p w14:paraId="59254E27" w14:textId="77777777" w:rsidR="00571EDE" w:rsidRDefault="00303E1E">
      <w:pPr>
        <w:pStyle w:val="Brezrazmikov"/>
        <w:numPr>
          <w:ilvl w:val="0"/>
          <w:numId w:val="5"/>
        </w:numPr>
        <w:rPr>
          <w:lang w:val="sl-SI"/>
        </w:rPr>
      </w:pPr>
      <w:r>
        <w:rPr>
          <w:lang w:val="sl-SI"/>
        </w:rPr>
        <w:t>Pomoč ES (posodobitev ind)</w:t>
      </w:r>
    </w:p>
    <w:p w14:paraId="07342528" w14:textId="77777777" w:rsidR="00571EDE" w:rsidRDefault="00571EDE">
      <w:pPr>
        <w:pStyle w:val="Brezrazmikov"/>
        <w:rPr>
          <w:lang w:val="sl-SI"/>
        </w:rPr>
      </w:pPr>
    </w:p>
    <w:p w14:paraId="76823416" w14:textId="77777777" w:rsidR="00571EDE" w:rsidRDefault="00303E1E">
      <w:pPr>
        <w:pStyle w:val="Brezrazmikov"/>
        <w:rPr>
          <w:b/>
          <w:color w:val="5F497A"/>
          <w:sz w:val="28"/>
          <w:lang w:val="sl-SI"/>
        </w:rPr>
      </w:pPr>
      <w:r>
        <w:rPr>
          <w:b/>
          <w:color w:val="5F497A"/>
          <w:sz w:val="28"/>
          <w:lang w:val="sl-SI"/>
        </w:rPr>
        <w:t>NIZOZEMSKO KMETIJSTVO:</w:t>
      </w:r>
    </w:p>
    <w:p w14:paraId="7C1537E9" w14:textId="77777777" w:rsidR="00571EDE" w:rsidRDefault="00303E1E">
      <w:pPr>
        <w:pStyle w:val="Brezrazmikov"/>
        <w:rPr>
          <w:b/>
          <w:color w:val="365F91"/>
          <w:sz w:val="24"/>
          <w:lang w:val="sl-SI"/>
        </w:rPr>
      </w:pPr>
      <w:r>
        <w:rPr>
          <w:b/>
          <w:color w:val="365F91"/>
          <w:sz w:val="24"/>
          <w:lang w:val="sl-SI"/>
        </w:rPr>
        <w:t>Večino kmetijski pokrajin so pridobili s polderji:</w:t>
      </w:r>
    </w:p>
    <w:p w14:paraId="550ED2AA" w14:textId="77777777" w:rsidR="00571EDE" w:rsidRDefault="00303E1E">
      <w:pPr>
        <w:pStyle w:val="Brezrazmikov"/>
        <w:numPr>
          <w:ilvl w:val="0"/>
          <w:numId w:val="3"/>
        </w:numPr>
        <w:rPr>
          <w:lang w:val="sl-SI"/>
        </w:rPr>
      </w:pPr>
      <w:r>
        <w:rPr>
          <w:lang w:val="sl-SI"/>
        </w:rPr>
        <w:t>Osuševanje morja z nasipi in črpalkam (delta reke Rena, Maase in Schlede)</w:t>
      </w:r>
    </w:p>
    <w:p w14:paraId="34B4A8B0" w14:textId="77777777" w:rsidR="00571EDE" w:rsidRDefault="00303E1E">
      <w:pPr>
        <w:pStyle w:val="Brezrazmikov"/>
        <w:numPr>
          <w:ilvl w:val="0"/>
          <w:numId w:val="3"/>
        </w:numPr>
        <w:rPr>
          <w:lang w:val="sl-SI"/>
        </w:rPr>
      </w:pPr>
      <w:r>
        <w:rPr>
          <w:lang w:val="sl-SI"/>
        </w:rPr>
        <w:t>Glinena in močvirnata prst je v začetku primerna le za živinorejo</w:t>
      </w:r>
    </w:p>
    <w:p w14:paraId="11B8351E" w14:textId="77777777" w:rsidR="00571EDE" w:rsidRDefault="00303E1E">
      <w:pPr>
        <w:pStyle w:val="Brezrazmikov"/>
        <w:numPr>
          <w:ilvl w:val="0"/>
          <w:numId w:val="3"/>
        </w:numPr>
        <w:rPr>
          <w:lang w:val="sl-SI"/>
        </w:rPr>
      </w:pPr>
      <w:r>
        <w:rPr>
          <w:lang w:val="sl-SI"/>
        </w:rPr>
        <w:t>Rastline prilagojene slani prsti</w:t>
      </w:r>
    </w:p>
    <w:p w14:paraId="62DA76D2" w14:textId="77777777" w:rsidR="00571EDE" w:rsidRDefault="00303E1E">
      <w:pPr>
        <w:pStyle w:val="Brezrazmikov"/>
        <w:numPr>
          <w:ilvl w:val="0"/>
          <w:numId w:val="3"/>
        </w:numPr>
        <w:rPr>
          <w:lang w:val="sl-SI"/>
        </w:rPr>
      </w:pPr>
      <w:r>
        <w:rPr>
          <w:lang w:val="sl-SI"/>
        </w:rPr>
        <w:t>Rodovitnost-gnojenje</w:t>
      </w:r>
    </w:p>
    <w:p w14:paraId="720D3598" w14:textId="77777777" w:rsidR="00571EDE" w:rsidRDefault="00303E1E">
      <w:pPr>
        <w:pStyle w:val="Brezrazmikov"/>
        <w:ind w:left="360"/>
        <w:rPr>
          <w:lang w:val="sl-SI"/>
        </w:rPr>
      </w:pPr>
      <w:r>
        <w:rPr>
          <w:rFonts w:ascii="Wingdings" w:hAnsi="Wingdings"/>
          <w:lang w:val="sl-SI"/>
        </w:rPr>
        <w:t></w:t>
      </w:r>
      <w:r>
        <w:rPr>
          <w:lang w:val="sl-SI"/>
        </w:rPr>
        <w:t>katastrofalne poplave (1953)  - začetek proizvajanja deltaprojekta (zavarovanje in novi polderji)</w:t>
      </w:r>
    </w:p>
    <w:p w14:paraId="7FCE0A37" w14:textId="77777777" w:rsidR="00571EDE" w:rsidRDefault="00571EDE">
      <w:pPr>
        <w:pStyle w:val="Brezrazmikov"/>
        <w:rPr>
          <w:lang w:val="sl-SI"/>
        </w:rPr>
      </w:pPr>
    </w:p>
    <w:p w14:paraId="1E6AE5E1" w14:textId="77777777" w:rsidR="00571EDE" w:rsidRDefault="00303E1E">
      <w:pPr>
        <w:pStyle w:val="Brezrazmikov"/>
        <w:rPr>
          <w:b/>
          <w:color w:val="365F91"/>
          <w:sz w:val="24"/>
          <w:lang w:val="sl-SI"/>
        </w:rPr>
      </w:pPr>
      <w:r>
        <w:rPr>
          <w:b/>
          <w:color w:val="365F91"/>
          <w:sz w:val="24"/>
          <w:lang w:val="sl-SI"/>
        </w:rPr>
        <w:t>Nizozemsko kmetijstvo je visoko produktivno in ima velike tržne viške, uspešnost temelji na:</w:t>
      </w:r>
    </w:p>
    <w:p w14:paraId="0601B2FF" w14:textId="77777777" w:rsidR="00571EDE" w:rsidRDefault="00303E1E">
      <w:pPr>
        <w:pStyle w:val="Brezrazmikov"/>
        <w:numPr>
          <w:ilvl w:val="0"/>
          <w:numId w:val="2"/>
        </w:numPr>
        <w:rPr>
          <w:lang w:val="sl-SI"/>
        </w:rPr>
      </w:pPr>
      <w:r>
        <w:rPr>
          <w:lang w:val="sl-SI"/>
        </w:rPr>
        <w:t>Specializacija v visokokvalitetne pridelke za izvoz</w:t>
      </w:r>
    </w:p>
    <w:p w14:paraId="0A3C9457" w14:textId="77777777" w:rsidR="00571EDE" w:rsidRDefault="00303E1E">
      <w:pPr>
        <w:pStyle w:val="Brezrazmikov"/>
        <w:numPr>
          <w:ilvl w:val="0"/>
          <w:numId w:val="2"/>
        </w:numPr>
        <w:rPr>
          <w:lang w:val="sl-SI"/>
        </w:rPr>
      </w:pPr>
      <w:r>
        <w:rPr>
          <w:lang w:val="sl-SI"/>
        </w:rPr>
        <w:t>Računalniško vodeno vrtnarstvo in cvetličarstvo v rastlinjakih</w:t>
      </w:r>
    </w:p>
    <w:p w14:paraId="51138DD1" w14:textId="77777777" w:rsidR="00571EDE" w:rsidRDefault="00303E1E">
      <w:pPr>
        <w:pStyle w:val="Brezrazmikov"/>
        <w:numPr>
          <w:ilvl w:val="0"/>
          <w:numId w:val="2"/>
        </w:numPr>
        <w:rPr>
          <w:lang w:val="sl-SI"/>
        </w:rPr>
      </w:pPr>
      <w:r>
        <w:rPr>
          <w:lang w:val="sl-SI"/>
        </w:rPr>
        <w:t>Najvišji hektarski donos na svetu</w:t>
      </w:r>
    </w:p>
    <w:p w14:paraId="76347E50" w14:textId="77777777" w:rsidR="00571EDE" w:rsidRDefault="00303E1E">
      <w:pPr>
        <w:pStyle w:val="Brezrazmikov"/>
        <w:numPr>
          <w:ilvl w:val="0"/>
          <w:numId w:val="2"/>
        </w:numPr>
        <w:rPr>
          <w:lang w:val="sl-SI"/>
        </w:rPr>
      </w:pPr>
      <w:r>
        <w:rPr>
          <w:lang w:val="sl-SI"/>
        </w:rPr>
        <w:t>Visoka strokovna usposobljenost delavcev</w:t>
      </w:r>
    </w:p>
    <w:sectPr w:rsidR="00571ED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E1E"/>
    <w:rsid w:val="00303E1E"/>
    <w:rsid w:val="00571EDE"/>
    <w:rsid w:val="00BC0934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636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rezrazmikov">
    <w:name w:val="Brez razmikov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