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2981" w:rsidRDefault="00B64375">
      <w:pPr>
        <w:pStyle w:val="NormalWeb"/>
        <w:widowControl/>
        <w:numPr>
          <w:ilvl w:val="0"/>
          <w:numId w:val="1"/>
        </w:numPr>
        <w:spacing w:after="0" w:line="240" w:lineRule="auto"/>
        <w:jc w:val="left"/>
        <w:textAlignment w:val="baseline"/>
        <w:rPr>
          <w:rFonts w:ascii="Segoe UI" w:eastAsia="Segoe UI" w:hAnsi="Segoe UI" w:cs="Segoe UI"/>
          <w:sz w:val="20"/>
          <w:szCs w:val="20"/>
        </w:rPr>
      </w:pPr>
      <w:bookmarkStart w:id="0" w:name="_GoBack"/>
      <w:bookmarkEnd w:id="0"/>
      <w:r>
        <w:rPr>
          <w:rFonts w:eastAsia="Segoe UI" w:cs="Calibri"/>
          <w:sz w:val="20"/>
          <w:szCs w:val="20"/>
          <w:shd w:val="clear" w:color="auto" w:fill="FFFFFF"/>
        </w:rPr>
        <w:t>Evropa kontinent številnih </w:t>
      </w:r>
      <w:r>
        <w:rPr>
          <w:rFonts w:eastAsia="Segoe UI" w:cs="Calibri"/>
          <w:sz w:val="20"/>
          <w:szCs w:val="20"/>
          <w:u w:val="single"/>
          <w:shd w:val="clear" w:color="auto" w:fill="FFFFFF"/>
        </w:rPr>
        <w:t>narodnih manjšin:</w:t>
      </w:r>
      <w:r>
        <w:rPr>
          <w:rFonts w:eastAsia="Segoe UI" w:cs="Calibri"/>
          <w:sz w:val="20"/>
          <w:szCs w:val="20"/>
          <w:shd w:val="clear" w:color="auto" w:fill="FFFFFF"/>
        </w:rPr>
        <w:t> </w:t>
      </w:r>
    </w:p>
    <w:p w:rsidR="00622981" w:rsidRDefault="00B64375">
      <w:pPr>
        <w:pStyle w:val="NormalWeb"/>
        <w:widowControl/>
        <w:numPr>
          <w:ilvl w:val="1"/>
          <w:numId w:val="1"/>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¸Nekatere manjšine imajo priznane tako rekoč vse narodnostne pravice </w:t>
      </w:r>
    </w:p>
    <w:p w:rsidR="00622981" w:rsidRDefault="00B64375">
      <w:pPr>
        <w:pStyle w:val="NormalWeb"/>
        <w:widowControl/>
        <w:numPr>
          <w:ilvl w:val="1"/>
          <w:numId w:val="1"/>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Nekatere uživajo široko politično avtonomijo (Katalonci v Španiji)</w:t>
      </w:r>
    </w:p>
    <w:p w:rsidR="00622981" w:rsidRDefault="00B64375">
      <w:pPr>
        <w:pStyle w:val="NormalWeb"/>
        <w:widowControl/>
        <w:numPr>
          <w:ilvl w:val="1"/>
          <w:numId w:val="1"/>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Ponekod položaj manjšin slabši, saj si države prizadevajo, da bi se čim hitreje asimilirale </w:t>
      </w:r>
    </w:p>
    <w:p w:rsidR="00622981" w:rsidRDefault="00B64375">
      <w:pPr>
        <w:pStyle w:val="NormalWeb"/>
        <w:widowControl/>
        <w:numPr>
          <w:ilvl w:val="1"/>
          <w:numId w:val="1"/>
        </w:numPr>
        <w:spacing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Ker se manjšine ne čutijo del države, kjer živijo, sprožijo avtonomistična (želja po večji avtonomiji) ali celo separatistična gibanja (želja po popolni odcepitvi); želje po odcepitvi niso zgolj zaradi neuresničevanja narodnostnih pravic - v najrazvitejšem s delu Italije so začeli razmišljati o odcepitvi od drugih  manj razvitih delov države - nastala država bi se po reki Pad im Padanija </w:t>
      </w:r>
    </w:p>
    <w:p w:rsidR="00622981" w:rsidRDefault="00B64375">
      <w:pPr>
        <w:pStyle w:val="NormalWeb"/>
        <w:widowControl/>
        <w:numPr>
          <w:ilvl w:val="0"/>
          <w:numId w:val="2"/>
        </w:numPr>
        <w:spacing w:after="0" w:line="240" w:lineRule="auto"/>
        <w:jc w:val="left"/>
        <w:textAlignment w:val="baseline"/>
        <w:rPr>
          <w:rFonts w:ascii="Segoe UI" w:eastAsia="Segoe UI" w:hAnsi="Segoe UI" w:cs="Segoe UI"/>
          <w:sz w:val="20"/>
          <w:szCs w:val="20"/>
        </w:rPr>
      </w:pPr>
      <w:r>
        <w:rPr>
          <w:rFonts w:eastAsia="Segoe UI" w:cs="Calibri"/>
          <w:sz w:val="20"/>
          <w:szCs w:val="20"/>
          <w:u w:val="single"/>
          <w:shd w:val="clear" w:color="auto" w:fill="FFFFFF"/>
        </w:rPr>
        <w:t>Verska sestava</w:t>
      </w:r>
      <w:r>
        <w:rPr>
          <w:rFonts w:eastAsia="Segoe UI" w:cs="Calibri"/>
          <w:sz w:val="20"/>
          <w:szCs w:val="20"/>
          <w:shd w:val="clear" w:color="auto" w:fill="FFFFFF"/>
        </w:rPr>
        <w:t> ni nujno povezana z narodno oz jezikovno, čeprav ponekod veroizpoved enačijo z narodnostno pripadnostjo </w:t>
      </w:r>
    </w:p>
    <w:p w:rsidR="00622981" w:rsidRDefault="00B64375">
      <w:pPr>
        <w:pStyle w:val="NormalWeb"/>
        <w:widowControl/>
        <w:numPr>
          <w:ilvl w:val="1"/>
          <w:numId w:val="2"/>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Daleč najbolj razširjeno verstvo </w:t>
      </w:r>
      <w:r>
        <w:rPr>
          <w:rFonts w:eastAsia="Segoe UI" w:cs="Calibri"/>
          <w:sz w:val="20"/>
          <w:szCs w:val="20"/>
          <w:u w:val="single"/>
          <w:shd w:val="clear" w:color="auto" w:fill="FFFFFF"/>
        </w:rPr>
        <w:t>krščanstvo:</w:t>
      </w:r>
      <w:r>
        <w:rPr>
          <w:rFonts w:eastAsia="Segoe UI" w:cs="Calibri"/>
          <w:sz w:val="20"/>
          <w:szCs w:val="20"/>
          <w:shd w:val="clear" w:color="auto" w:fill="FFFFFF"/>
        </w:rPr>
        <w:t> </w:t>
      </w:r>
      <w:r>
        <w:rPr>
          <w:rFonts w:eastAsia="Segoe UI" w:cs="Calibri"/>
          <w:sz w:val="20"/>
          <w:szCs w:val="20"/>
          <w:u w:val="single"/>
          <w:shd w:val="clear" w:color="auto" w:fill="FFFFFF"/>
        </w:rPr>
        <w:t>Katoličani, pravoslavni in protestanti</w:t>
      </w:r>
      <w:r>
        <w:rPr>
          <w:rFonts w:eastAsia="Segoe UI" w:cs="Calibri"/>
          <w:sz w:val="20"/>
          <w:szCs w:val="20"/>
          <w:shd w:val="clear" w:color="auto" w:fill="FFFFFF"/>
        </w:rPr>
        <w:t> </w:t>
      </w:r>
    </w:p>
    <w:p w:rsidR="00622981" w:rsidRDefault="00B64375">
      <w:pPr>
        <w:pStyle w:val="NormalWeb"/>
        <w:widowControl/>
        <w:numPr>
          <w:ilvl w:val="1"/>
          <w:numId w:val="2"/>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Drugo najbolj razširjeno verstvo </w:t>
      </w:r>
      <w:r>
        <w:rPr>
          <w:rFonts w:eastAsia="Segoe UI" w:cs="Calibri"/>
          <w:sz w:val="20"/>
          <w:szCs w:val="20"/>
          <w:u w:val="single"/>
          <w:shd w:val="clear" w:color="auto" w:fill="FFFFFF"/>
        </w:rPr>
        <w:t>islam</w:t>
      </w:r>
      <w:r>
        <w:rPr>
          <w:rFonts w:eastAsia="Segoe UI" w:cs="Calibri"/>
          <w:sz w:val="20"/>
          <w:szCs w:val="20"/>
          <w:shd w:val="clear" w:color="auto" w:fill="FFFFFF"/>
        </w:rPr>
        <w:t> (že dolgo prevladujoče verstvo v ev delu Turčije, turškem delu Cipra, v Albaniji, na Kosovu, v musl delu BiH ter nekateri deli Rusije) </w:t>
      </w:r>
    </w:p>
    <w:p w:rsidR="00622981" w:rsidRDefault="00B64375">
      <w:pPr>
        <w:pStyle w:val="NormalWeb"/>
        <w:widowControl/>
        <w:numPr>
          <w:ilvl w:val="1"/>
          <w:numId w:val="2"/>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velik del </w:t>
      </w:r>
      <w:r>
        <w:rPr>
          <w:rFonts w:eastAsia="Segoe UI" w:cs="Calibri"/>
          <w:sz w:val="20"/>
          <w:szCs w:val="20"/>
          <w:u w:val="single"/>
          <w:shd w:val="clear" w:color="auto" w:fill="FFFFFF"/>
        </w:rPr>
        <w:t>judov</w:t>
      </w:r>
      <w:r>
        <w:rPr>
          <w:rFonts w:eastAsia="Segoe UI" w:cs="Calibri"/>
          <w:sz w:val="20"/>
          <w:szCs w:val="20"/>
          <w:shd w:val="clear" w:color="auto" w:fill="FFFFFF"/>
        </w:rPr>
        <w:t> nacisti iztrebili med drugo sv vojno </w:t>
      </w:r>
    </w:p>
    <w:p w:rsidR="00622981" w:rsidRDefault="00B64375">
      <w:pPr>
        <w:pStyle w:val="NormalWeb"/>
        <w:widowControl/>
        <w:numPr>
          <w:ilvl w:val="1"/>
          <w:numId w:val="2"/>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Med  priseljenci iz Azije prevladujejo pripadniki </w:t>
      </w:r>
      <w:r>
        <w:rPr>
          <w:rFonts w:eastAsia="Segoe UI" w:cs="Calibri"/>
          <w:sz w:val="20"/>
          <w:szCs w:val="20"/>
          <w:u w:val="single"/>
          <w:shd w:val="clear" w:color="auto" w:fill="FFFFFF"/>
        </w:rPr>
        <w:t>hinduizma</w:t>
      </w:r>
      <w:r>
        <w:rPr>
          <w:rFonts w:eastAsia="Segoe UI" w:cs="Calibri"/>
          <w:sz w:val="20"/>
          <w:szCs w:val="20"/>
          <w:shd w:val="clear" w:color="auto" w:fill="FFFFFF"/>
        </w:rPr>
        <w:t> in </w:t>
      </w:r>
      <w:r>
        <w:rPr>
          <w:rFonts w:eastAsia="Segoe UI" w:cs="Calibri"/>
          <w:sz w:val="20"/>
          <w:szCs w:val="20"/>
          <w:u w:val="single"/>
          <w:shd w:val="clear" w:color="auto" w:fill="FFFFFF"/>
        </w:rPr>
        <w:t>budizma</w:t>
      </w:r>
      <w:r>
        <w:rPr>
          <w:rFonts w:eastAsia="Segoe UI" w:cs="Calibri"/>
          <w:sz w:val="20"/>
          <w:szCs w:val="20"/>
          <w:shd w:val="clear" w:color="auto" w:fill="FFFFFF"/>
        </w:rPr>
        <w:t>  </w:t>
      </w:r>
    </w:p>
    <w:p w:rsidR="00622981" w:rsidRDefault="00622981">
      <w:pPr>
        <w:pStyle w:val="NormalWeb"/>
        <w:widowControl/>
        <w:spacing w:after="0" w:line="240" w:lineRule="auto"/>
        <w:jc w:val="left"/>
        <w:textAlignment w:val="baseline"/>
        <w:rPr>
          <w:rFonts w:eastAsia="Segoe UI" w:cs="Calibri"/>
          <w:sz w:val="20"/>
          <w:szCs w:val="20"/>
          <w:u w:val="single"/>
          <w:shd w:val="clear" w:color="auto" w:fill="FFFFFF"/>
        </w:rPr>
      </w:pPr>
    </w:p>
    <w:p w:rsidR="00622981" w:rsidRDefault="00B64375">
      <w:pPr>
        <w:pStyle w:val="NormalWeb"/>
        <w:widowControl/>
        <w:numPr>
          <w:ilvl w:val="0"/>
          <w:numId w:val="3"/>
        </w:numPr>
        <w:spacing w:after="0" w:line="240" w:lineRule="auto"/>
        <w:jc w:val="left"/>
        <w:textAlignment w:val="baseline"/>
        <w:rPr>
          <w:rFonts w:ascii="Segoe UI" w:eastAsia="Segoe UI" w:hAnsi="Segoe UI" w:cs="Segoe UI"/>
          <w:sz w:val="20"/>
          <w:szCs w:val="20"/>
        </w:rPr>
      </w:pPr>
      <w:r>
        <w:rPr>
          <w:rFonts w:eastAsia="Segoe UI" w:cs="Calibri"/>
          <w:sz w:val="20"/>
          <w:szCs w:val="20"/>
          <w:u w:val="single"/>
          <w:shd w:val="clear" w:color="auto" w:fill="FFFFFF"/>
        </w:rPr>
        <w:t>Več migracijskih valov:</w:t>
      </w:r>
      <w:r>
        <w:rPr>
          <w:rFonts w:eastAsia="Segoe UI" w:cs="Calibri"/>
          <w:sz w:val="20"/>
          <w:szCs w:val="20"/>
          <w:shd w:val="clear" w:color="auto" w:fill="FFFFFF"/>
        </w:rPr>
        <w:t> </w:t>
      </w:r>
    </w:p>
    <w:p w:rsidR="00622981" w:rsidRDefault="00B64375">
      <w:pPr>
        <w:pStyle w:val="NormalWeb"/>
        <w:widowControl/>
        <w:numPr>
          <w:ilvl w:val="1"/>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Najmnožičnejše selitve iz političnih razlogov bile ob koncu 2.sv.vojne  </w:t>
      </w:r>
    </w:p>
    <w:p w:rsidR="00622981" w:rsidRDefault="00B64375">
      <w:pPr>
        <w:pStyle w:val="NormalWeb"/>
        <w:widowControl/>
        <w:numPr>
          <w:ilvl w:val="1"/>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Večina selitev v naslednjih desetletjih je bila iz ekonomskih razlogov, v grobem razlikujemo 3 glavne valove: </w:t>
      </w:r>
    </w:p>
    <w:p w:rsidR="00622981" w:rsidRDefault="00B64375">
      <w:pPr>
        <w:pStyle w:val="NormalWeb"/>
        <w:widowControl/>
        <w:numPr>
          <w:ilvl w:val="2"/>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1950 - zgodnja 70. : povečini moška nekvalificirana delovna sila iz južnih delov Evrope ( Italija, Španija, Grčija, Portugalska, Jugoslavija) pa tudi Turčija, Maroko in manj razviti deli sveta; potrebovali delavce za opravila, ki jih domačini niso radi opravljali ( težka dela v gradbeništvu), po naftni krizi 1973 zaradi povečane brezposelnosti ni bilo več povpraševanja po nekvalificirani delovni sili </w:t>
      </w:r>
    </w:p>
    <w:p w:rsidR="00622981" w:rsidRDefault="00B64375">
      <w:pPr>
        <w:pStyle w:val="NormalWeb"/>
        <w:widowControl/>
        <w:numPr>
          <w:ilvl w:val="2"/>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Do sredine 80.  : predvsem žene in otroci že prej priseljenih delavcev, manj številčen </w:t>
      </w:r>
    </w:p>
    <w:p w:rsidR="00622981" w:rsidRDefault="00B64375">
      <w:pPr>
        <w:pStyle w:val="NormalWeb"/>
        <w:widowControl/>
        <w:numPr>
          <w:ilvl w:val="2"/>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Druga polovica 80-še vedno traja: precej bolj množičen, spremenile se niso le oblike selitev in struktura migrantov, ampak tudi smer selitve </w:t>
      </w:r>
    </w:p>
    <w:p w:rsidR="00622981" w:rsidRDefault="00622981">
      <w:pPr>
        <w:pStyle w:val="NormalWeb"/>
        <w:widowControl/>
        <w:spacing w:after="0" w:line="240" w:lineRule="auto"/>
        <w:jc w:val="left"/>
        <w:textAlignment w:val="baseline"/>
        <w:rPr>
          <w:rFonts w:ascii="Segoe UI" w:eastAsia="Segoe UI" w:hAnsi="Segoe UI" w:cs="Segoe UI"/>
          <w:sz w:val="20"/>
          <w:szCs w:val="20"/>
        </w:rPr>
      </w:pPr>
    </w:p>
    <w:p w:rsidR="00622981" w:rsidRDefault="00B64375">
      <w:pPr>
        <w:pStyle w:val="NormalWeb"/>
        <w:widowControl/>
        <w:numPr>
          <w:ilvl w:val="0"/>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Glede na oblike selitev in spremenjeno strukturo </w:t>
      </w:r>
      <w:r>
        <w:rPr>
          <w:rFonts w:eastAsia="Segoe UI" w:cs="Calibri"/>
          <w:sz w:val="20"/>
          <w:szCs w:val="20"/>
          <w:u w:val="single"/>
          <w:shd w:val="clear" w:color="auto" w:fill="FFFFFF"/>
        </w:rPr>
        <w:t>4 oblike priseljevanja</w:t>
      </w:r>
      <w:r>
        <w:rPr>
          <w:rFonts w:eastAsia="Segoe UI" w:cs="Calibri"/>
          <w:sz w:val="20"/>
          <w:szCs w:val="20"/>
          <w:shd w:val="clear" w:color="auto" w:fill="FFFFFF"/>
        </w:rPr>
        <w:t>: </w:t>
      </w:r>
    </w:p>
    <w:p w:rsidR="00622981" w:rsidRDefault="00B64375">
      <w:pPr>
        <w:pStyle w:val="NormalWeb"/>
        <w:widowControl/>
        <w:numPr>
          <w:ilvl w:val="1"/>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Azilanti in begunci</w:t>
      </w:r>
    </w:p>
    <w:p w:rsidR="00622981" w:rsidRDefault="00B64375">
      <w:pPr>
        <w:pStyle w:val="NormalWeb"/>
        <w:widowControl/>
        <w:numPr>
          <w:ilvl w:val="1"/>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Ilegalni priseljenci </w:t>
      </w:r>
    </w:p>
    <w:p w:rsidR="00622981" w:rsidRDefault="00B64375">
      <w:pPr>
        <w:pStyle w:val="NormalWeb"/>
        <w:widowControl/>
        <w:numPr>
          <w:ilvl w:val="1"/>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Visoko kvalificirani migranti </w:t>
      </w:r>
    </w:p>
    <w:p w:rsidR="00622981" w:rsidRDefault="00B64375">
      <w:pPr>
        <w:pStyle w:val="NormalWeb"/>
        <w:widowControl/>
        <w:numPr>
          <w:ilvl w:val="1"/>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Premožni upokojenci</w:t>
      </w:r>
    </w:p>
    <w:p w:rsidR="00622981" w:rsidRDefault="00B64375">
      <w:pPr>
        <w:pStyle w:val="NormalWeb"/>
        <w:widowControl/>
        <w:numPr>
          <w:ilvl w:val="0"/>
          <w:numId w:val="3"/>
        </w:numPr>
        <w:spacing w:after="0" w:line="240" w:lineRule="auto"/>
        <w:jc w:val="left"/>
        <w:textAlignment w:val="baseline"/>
        <w:rPr>
          <w:rFonts w:ascii="Segoe UI" w:eastAsia="Segoe UI" w:hAnsi="Segoe UI" w:cs="Segoe UI"/>
          <w:sz w:val="20"/>
          <w:szCs w:val="20"/>
        </w:rPr>
      </w:pPr>
      <w:r>
        <w:rPr>
          <w:rFonts w:eastAsia="Segoe UI" w:cs="Calibri"/>
          <w:sz w:val="20"/>
          <w:szCs w:val="20"/>
          <w:u w:val="single"/>
          <w:shd w:val="clear" w:color="auto" w:fill="FFFFFF"/>
        </w:rPr>
        <w:t>Evropska populacijska os</w:t>
      </w:r>
      <w:r>
        <w:rPr>
          <w:rFonts w:eastAsia="Segoe UI" w:cs="Calibri"/>
          <w:sz w:val="20"/>
          <w:szCs w:val="20"/>
          <w:shd w:val="clear" w:color="auto" w:fill="FFFFFF"/>
        </w:rPr>
        <w:t> ob 50 vzporedniku od Anglije do Ukrajine </w:t>
      </w:r>
    </w:p>
    <w:p w:rsidR="00622981" w:rsidRDefault="00B64375">
      <w:pPr>
        <w:pStyle w:val="NormalWeb"/>
        <w:widowControl/>
        <w:numPr>
          <w:ilvl w:val="0"/>
          <w:numId w:val="3"/>
        </w:numPr>
        <w:spacing w:after="0" w:line="240" w:lineRule="auto"/>
        <w:jc w:val="left"/>
        <w:textAlignment w:val="baseline"/>
        <w:rPr>
          <w:rFonts w:ascii="Segoe UI" w:eastAsia="Segoe UI" w:hAnsi="Segoe UI" w:cs="Segoe UI"/>
          <w:sz w:val="20"/>
          <w:szCs w:val="20"/>
        </w:rPr>
      </w:pPr>
      <w:r>
        <w:rPr>
          <w:rFonts w:eastAsia="Segoe UI" w:cs="Calibri"/>
          <w:sz w:val="20"/>
          <w:szCs w:val="20"/>
          <w:u w:val="single"/>
          <w:shd w:val="clear" w:color="auto" w:fill="FFFFFF"/>
        </w:rPr>
        <w:t>Litoralizacija</w:t>
      </w:r>
      <w:r>
        <w:rPr>
          <w:rFonts w:eastAsia="Segoe UI" w:cs="Calibri"/>
          <w:sz w:val="20"/>
          <w:szCs w:val="20"/>
          <w:shd w:val="clear" w:color="auto" w:fill="FFFFFF"/>
        </w:rPr>
        <w:t>: selitev preb in gospodarstva iz notranjosti na obale </w:t>
      </w:r>
    </w:p>
    <w:p w:rsidR="00622981" w:rsidRDefault="00B64375">
      <w:pPr>
        <w:pStyle w:val="NormalWeb"/>
        <w:widowControl/>
        <w:numPr>
          <w:ilvl w:val="0"/>
          <w:numId w:val="3"/>
        </w:numPr>
        <w:spacing w:after="0" w:line="240" w:lineRule="auto"/>
        <w:jc w:val="left"/>
        <w:textAlignment w:val="baseline"/>
        <w:rPr>
          <w:rFonts w:ascii="Segoe UI" w:eastAsia="Segoe UI" w:hAnsi="Segoe UI" w:cs="Segoe UI"/>
          <w:sz w:val="20"/>
          <w:szCs w:val="20"/>
        </w:rPr>
      </w:pPr>
      <w:r>
        <w:rPr>
          <w:rFonts w:eastAsia="Segoe UI" w:cs="Calibri"/>
          <w:sz w:val="20"/>
          <w:szCs w:val="20"/>
          <w:u w:val="single"/>
          <w:shd w:val="clear" w:color="auto" w:fill="FFFFFF"/>
        </w:rPr>
        <w:t>Osrednja ali centralna območja</w:t>
      </w:r>
      <w:r>
        <w:rPr>
          <w:rFonts w:eastAsia="Segoe UI" w:cs="Calibri"/>
          <w:sz w:val="20"/>
          <w:szCs w:val="20"/>
          <w:shd w:val="clear" w:color="auto" w:fill="FFFFFF"/>
        </w:rPr>
        <w:t>: tam ima gospodarska moč največjo koncentracijo, privlači priseljevanje </w:t>
      </w:r>
    </w:p>
    <w:p w:rsidR="00622981" w:rsidRDefault="00B64375">
      <w:pPr>
        <w:pStyle w:val="NormalWeb"/>
        <w:widowControl/>
        <w:numPr>
          <w:ilvl w:val="0"/>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Robna ali periferna območja: zaostajajo v gospodarskem razvoju </w:t>
      </w:r>
    </w:p>
    <w:p w:rsidR="00622981" w:rsidRDefault="00B64375">
      <w:pPr>
        <w:pStyle w:val="NormalWeb"/>
        <w:widowControl/>
        <w:numPr>
          <w:ilvl w:val="0"/>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''modra banana'': evropsko osrednje območje od jv Anglije prek Beneluksa, zahodne Nemčije in Švice do s Italije </w:t>
      </w:r>
    </w:p>
    <w:p w:rsidR="00622981" w:rsidRDefault="00B64375">
      <w:pPr>
        <w:pStyle w:val="NormalWeb"/>
        <w:widowControl/>
        <w:numPr>
          <w:ilvl w:val="1"/>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lastRenderedPageBreak/>
        <w:t>Zelo visoka gostota poselitve, izjemna gospodarska moč ter izredno razvito in gosto prometno omrežje, dohodki na preb zelo visoki, stopnja brezposelnosti nizka (London, Bruselj, Amsterdam, Frankfurt, Milano..) ga včasih im (zahodno)evropski megalopolis</w:t>
      </w:r>
    </w:p>
    <w:p w:rsidR="00622981" w:rsidRDefault="00B64375">
      <w:pPr>
        <w:pStyle w:val="NormalWeb"/>
        <w:widowControl/>
        <w:numPr>
          <w:ilvl w:val="1"/>
          <w:numId w:val="3"/>
        </w:numPr>
        <w:spacing w:after="0" w:line="240" w:lineRule="auto"/>
        <w:jc w:val="left"/>
        <w:textAlignment w:val="baseline"/>
        <w:rPr>
          <w:rFonts w:ascii="Segoe UI" w:eastAsia="Segoe UI" w:hAnsi="Segoe UI" w:cs="Segoe UI"/>
          <w:sz w:val="20"/>
          <w:szCs w:val="20"/>
        </w:rPr>
      </w:pPr>
      <w:r>
        <w:rPr>
          <w:rFonts w:eastAsia="Segoe UI" w:cs="Calibri"/>
          <w:sz w:val="20"/>
          <w:szCs w:val="20"/>
          <w:shd w:val="clear" w:color="auto" w:fill="FFFFFF"/>
        </w:rPr>
        <w:t>Temelji na ind visoke tehnologije, info dejavnosti in najrazličnejših drugih storitvenih dejavnosti </w:t>
      </w:r>
    </w:p>
    <w:p w:rsidR="00622981" w:rsidRDefault="00B64375">
      <w:pPr>
        <w:pStyle w:val="NormalWeb"/>
        <w:widowControl/>
        <w:numPr>
          <w:ilvl w:val="0"/>
          <w:numId w:val="3"/>
        </w:numPr>
        <w:spacing w:after="0" w:line="240" w:lineRule="auto"/>
        <w:jc w:val="left"/>
        <w:textAlignment w:val="baseline"/>
        <w:rPr>
          <w:sz w:val="20"/>
          <w:szCs w:val="20"/>
        </w:rPr>
      </w:pPr>
      <w:r>
        <w:rPr>
          <w:rFonts w:eastAsia="Segoe UI" w:cs="Calibri"/>
          <w:sz w:val="20"/>
          <w:szCs w:val="20"/>
          <w:u w:val="single"/>
          <w:shd w:val="clear" w:color="auto" w:fill="FFFFFF"/>
        </w:rPr>
        <w:t>Sončni pas</w:t>
      </w:r>
      <w:r>
        <w:rPr>
          <w:rFonts w:eastAsia="Segoe UI" w:cs="Calibri"/>
          <w:sz w:val="20"/>
          <w:szCs w:val="20"/>
          <w:shd w:val="clear" w:color="auto" w:fill="FFFFFF"/>
        </w:rPr>
        <w:t>: širši obalni pas od sv Španije prek fr sredozemske obale (Marseille) do s Italije; začelo privabljati kapital iz več razlogov, eden prijetnejše podnebje, sproščen način življenja</w:t>
      </w:r>
    </w:p>
    <w:p w:rsidR="00622981" w:rsidRDefault="00622981">
      <w:pPr>
        <w:pStyle w:val="NormalWeb"/>
        <w:widowControl/>
        <w:spacing w:after="0" w:line="240" w:lineRule="auto"/>
        <w:jc w:val="left"/>
        <w:textAlignment w:val="baseline"/>
        <w:rPr>
          <w:sz w:val="20"/>
          <w:szCs w:val="20"/>
        </w:rPr>
      </w:pPr>
    </w:p>
    <w:p w:rsidR="00622981" w:rsidRDefault="00622981">
      <w:pPr>
        <w:rPr>
          <w:sz w:val="20"/>
          <w:szCs w:val="20"/>
        </w:rPr>
      </w:pPr>
    </w:p>
    <w:sectPr w:rsidR="00622981">
      <w:pgSz w:w="11850" w:h="16783"/>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4E454"/>
    <w:multiLevelType w:val="multilevel"/>
    <w:tmpl w:val="56A4E45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56A4E6DA"/>
    <w:multiLevelType w:val="multilevel"/>
    <w:tmpl w:val="56A4E6D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56A4E7AF"/>
    <w:multiLevelType w:val="multilevel"/>
    <w:tmpl w:val="56A4E7A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5B1F412F"/>
    <w:rsid w:val="EFE77354"/>
    <w:rsid w:val="00622981"/>
    <w:rsid w:val="00B64375"/>
    <w:rsid w:val="00C45B07"/>
    <w:rsid w:val="00FF6145"/>
    <w:rsid w:val="5B1F412F"/>
    <w:rsid w:val="739F8F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200" w:line="276" w:lineRule="auto"/>
      <w:jc w:val="both"/>
    </w:pPr>
    <w:rPr>
      <w:rFonts w:ascii="Calibri" w:hAnsi="Calibr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