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DEB" w:rsidRDefault="004F105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Gospodarstvo Nemčije</w:t>
      </w:r>
    </w:p>
    <w:p w:rsidR="00E05DEB" w:rsidRDefault="00E05DEB">
      <w:pPr>
        <w:spacing w:before="120" w:after="120"/>
        <w:jc w:val="both"/>
      </w:pPr>
    </w:p>
    <w:p w:rsidR="00E05DEB" w:rsidRDefault="004F105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</w:rPr>
      </w:pPr>
      <w:r>
        <w:rPr>
          <w:b/>
        </w:rPr>
        <w:t>Gospodarstvo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 xml:space="preserve">Nemčija je </w:t>
      </w:r>
      <w:r>
        <w:rPr>
          <w:b/>
        </w:rPr>
        <w:t>največja gospodarska velesila v Evropi</w:t>
      </w:r>
      <w:r>
        <w:t xml:space="preserve"> in </w:t>
      </w:r>
      <w:r>
        <w:rPr>
          <w:b/>
        </w:rPr>
        <w:t>tretja gospodarska velesila</w:t>
      </w:r>
      <w:r>
        <w:t xml:space="preserve">, za ZDA in Japonsko, </w:t>
      </w:r>
      <w:r>
        <w:rPr>
          <w:b/>
        </w:rPr>
        <w:t>na svetu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</w:pPr>
      <w:r>
        <w:t xml:space="preserve">predvsem </w:t>
      </w:r>
      <w:r>
        <w:rPr>
          <w:b/>
        </w:rPr>
        <w:t>zahodni del je industrijsko visoko razvit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tu najdemo vrhunsko industrijo vseh vrst</w:t>
      </w:r>
      <w:r>
        <w:t xml:space="preserve">, hkrati pa tudi </w:t>
      </w:r>
      <w:r>
        <w:rPr>
          <w:b/>
        </w:rPr>
        <w:t>moderno kmetijstvo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gospodarski sistem vzhodnega dela</w:t>
      </w:r>
      <w:r>
        <w:t xml:space="preserve"> (kjer je bilo pred letom 1990 plansko gospodarstvo socialističnega tipa) </w:t>
      </w:r>
      <w:r>
        <w:rPr>
          <w:b/>
        </w:rPr>
        <w:t>je po združitvi Nemčij skoraj v celoti propadel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obnavljajo ga s pomočjo kreditnega sklada</w:t>
      </w:r>
      <w:r>
        <w:t xml:space="preserve">, </w:t>
      </w:r>
      <w:r>
        <w:rPr>
          <w:b/>
        </w:rPr>
        <w:t xml:space="preserve">privatizacija </w:t>
      </w:r>
      <w:r>
        <w:t xml:space="preserve">državnih podjetij pa je </w:t>
      </w:r>
      <w:r>
        <w:rPr>
          <w:b/>
        </w:rPr>
        <w:t>skoraj v celoti že opravljena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 xml:space="preserve">kljub vsemu bo </w:t>
      </w:r>
      <w:r>
        <w:rPr>
          <w:b/>
        </w:rPr>
        <w:t xml:space="preserve">na vzhodu potrebnih še veliko sredstev za modernizacijo podjetij in ekološko sanacijo močno prizadetega okolja </w:t>
      </w:r>
    </w:p>
    <w:p w:rsidR="00E05DEB" w:rsidRDefault="00E05DEB">
      <w:pPr>
        <w:spacing w:before="120" w:after="120"/>
        <w:jc w:val="both"/>
      </w:pPr>
    </w:p>
    <w:p w:rsidR="00E05DEB" w:rsidRDefault="004F105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</w:rPr>
      </w:pPr>
      <w:r>
        <w:rPr>
          <w:b/>
        </w:rPr>
        <w:t>Rudarstvo</w:t>
      </w:r>
    </w:p>
    <w:p w:rsidR="00E05DEB" w:rsidRDefault="004F1057">
      <w:pPr>
        <w:spacing w:before="120" w:after="120"/>
        <w:jc w:val="center"/>
        <w:rPr>
          <w:b/>
          <w:u w:val="single"/>
        </w:rPr>
      </w:pPr>
      <w:r>
        <w:rPr>
          <w:b/>
          <w:u w:val="single"/>
        </w:rPr>
        <w:t>zahodni del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</w:pPr>
      <w:r>
        <w:t xml:space="preserve">splošno gledano zahodni del </w:t>
      </w:r>
      <w:r>
        <w:rPr>
          <w:b/>
        </w:rPr>
        <w:t>nima veliko rudnega bogastva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pomembna</w:t>
      </w:r>
      <w:r>
        <w:t xml:space="preserve"> so predvsem </w:t>
      </w:r>
      <w:r>
        <w:rPr>
          <w:b/>
        </w:rPr>
        <w:t>nahajališča črnega premoga in železove rude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 xml:space="preserve">poleg tega so </w:t>
      </w:r>
      <w:r>
        <w:rPr>
          <w:b/>
        </w:rPr>
        <w:t>za državno gospodarstvo pomembna še nahajališča rjavega premoga in lignita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rjavi premog, lignit in črni premog skupaj pomenijo energetsko osnovo zahodnega dela</w:t>
      </w:r>
      <w:r>
        <w:t xml:space="preserve">, nahajališča teh rud pa so </w:t>
      </w:r>
      <w:r>
        <w:rPr>
          <w:b/>
        </w:rPr>
        <w:t>igrala tudi pomembno vlogo v razvoju nemške industrije</w:t>
      </w:r>
    </w:p>
    <w:p w:rsidR="00E05DEB" w:rsidRDefault="004F1057">
      <w:pPr>
        <w:spacing w:before="120" w:after="120"/>
        <w:jc w:val="center"/>
        <w:rPr>
          <w:b/>
          <w:u w:val="single"/>
        </w:rPr>
      </w:pPr>
      <w:r>
        <w:rPr>
          <w:b/>
          <w:u w:val="single"/>
        </w:rPr>
        <w:t>vzhodni del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 xml:space="preserve">vzhodni del ima še </w:t>
      </w:r>
      <w:r>
        <w:rPr>
          <w:b/>
        </w:rPr>
        <w:t>manj rudnih bogastev kot zahodni del</w:t>
      </w:r>
      <w:r>
        <w:t xml:space="preserve">, </w:t>
      </w:r>
      <w:r>
        <w:rPr>
          <w:b/>
        </w:rPr>
        <w:t>energetsko in surovinsko je bil pred združitvijo močno vezan na Sovjetsko zvezo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</w:pPr>
      <w:r>
        <w:lastRenderedPageBreak/>
        <w:t xml:space="preserve">pomembnejša so le </w:t>
      </w:r>
      <w:r>
        <w:rPr>
          <w:b/>
        </w:rPr>
        <w:t>nahajališča rjavega premoga in lignita na jugu</w:t>
      </w:r>
      <w:r>
        <w:t xml:space="preserve">, kjer rudo kopljejo v </w:t>
      </w:r>
      <w:r>
        <w:rPr>
          <w:b/>
        </w:rPr>
        <w:t>velikih dnevnih kopih</w:t>
      </w:r>
    </w:p>
    <w:p w:rsidR="00E05DEB" w:rsidRDefault="00E05DEB">
      <w:pPr>
        <w:spacing w:before="120" w:after="120"/>
        <w:jc w:val="both"/>
      </w:pPr>
    </w:p>
    <w:p w:rsidR="00E05DEB" w:rsidRDefault="004F105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</w:rPr>
      </w:pPr>
      <w:r>
        <w:rPr>
          <w:b/>
        </w:rPr>
        <w:t>Industrija</w:t>
      </w:r>
    </w:p>
    <w:p w:rsidR="00E05DEB" w:rsidRDefault="004F1057">
      <w:pPr>
        <w:spacing w:before="120" w:after="120"/>
        <w:jc w:val="center"/>
      </w:pPr>
      <w:r>
        <w:rPr>
          <w:b/>
          <w:u w:val="single"/>
        </w:rPr>
        <w:t>zahodni del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stara industrija</w:t>
      </w:r>
      <w:r>
        <w:t xml:space="preserve"> (težka industrija: črna in barvna metalurgija) </w:t>
      </w:r>
      <w:r>
        <w:rPr>
          <w:b/>
        </w:rPr>
        <w:t>je v krizi, njena proizvodnja relativno upada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nagel razvoj doživljajo moderne industrijske panoge</w:t>
      </w:r>
      <w:r>
        <w:t xml:space="preserve"> kot so npr.: </w:t>
      </w:r>
      <w:r>
        <w:rPr>
          <w:b/>
        </w:rPr>
        <w:t>avtomobilska industrija</w:t>
      </w:r>
      <w:r>
        <w:t xml:space="preserve"> (BMW, Mercedes, Volkswagen, Opel, Ford), </w:t>
      </w:r>
      <w:r>
        <w:rPr>
          <w:b/>
        </w:rPr>
        <w:t>kemična in petrokemična industrija, elektrotehnična in elektronska industrija</w:t>
      </w:r>
    </w:p>
    <w:p w:rsidR="00E05DEB" w:rsidRDefault="004F1057">
      <w:pPr>
        <w:numPr>
          <w:ilvl w:val="12"/>
          <w:numId w:val="0"/>
        </w:numPr>
        <w:spacing w:before="120" w:after="120"/>
        <w:ind w:left="283" w:hanging="283"/>
        <w:jc w:val="center"/>
      </w:pPr>
      <w:r>
        <w:rPr>
          <w:b/>
          <w:u w:val="single"/>
        </w:rPr>
        <w:t>vzhodni del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po sovjetskem vzoru so razvijali predvsem težko industrijo</w:t>
      </w:r>
      <w:r>
        <w:t xml:space="preserve"> (črno in barvno metalurgijo)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veliko počasneje se je razvijala industrija, ki proizvaja blago za široko potrošnjo</w:t>
      </w:r>
      <w:r>
        <w:t xml:space="preserve"> (tekstilna, živilska industrija, ...)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glavna industrijska območja najdemo na jugu</w:t>
      </w:r>
      <w:r>
        <w:t>, ob nahajališčih rjavega premoga in lignita</w:t>
      </w:r>
    </w:p>
    <w:p w:rsidR="00E05DEB" w:rsidRDefault="00E05DEB">
      <w:pPr>
        <w:spacing w:before="120" w:after="120"/>
        <w:jc w:val="both"/>
      </w:pPr>
    </w:p>
    <w:p w:rsidR="00E05DEB" w:rsidRDefault="004F105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</w:rPr>
      </w:pPr>
      <w:r>
        <w:rPr>
          <w:b/>
        </w:rPr>
        <w:t>Obremenjevanje okolja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onesnaževanje zraka je na zahodu Nemčije poškodovalo že več kot polovico gozdnih površin</w:t>
      </w:r>
      <w:r>
        <w:t xml:space="preserve">, prav tako sta ogroženi tudi </w:t>
      </w:r>
      <w:r>
        <w:rPr>
          <w:b/>
        </w:rPr>
        <w:t>prst in voda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nadaljne obremenitve okolja</w:t>
      </w:r>
      <w:r>
        <w:t xml:space="preserve"> izhajajo </w:t>
      </w:r>
      <w:r>
        <w:rPr>
          <w:b/>
        </w:rPr>
        <w:t>iz hrupa</w:t>
      </w:r>
      <w:r>
        <w:t xml:space="preserve"> in </w:t>
      </w:r>
      <w:r>
        <w:rPr>
          <w:b/>
        </w:rPr>
        <w:t>naraščajočih kupov odpadkov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 xml:space="preserve">za preprečitev širjenja poškodb so </w:t>
      </w:r>
      <w:r>
        <w:rPr>
          <w:b/>
        </w:rPr>
        <w:t>uvedli različne ukrepe za varovanje okolja, ki že kažejo prve uspehe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zmanjšalo se je izpuščanje škodljivih snovi v ozračje</w:t>
      </w:r>
      <w:r>
        <w:t xml:space="preserve"> ter </w:t>
      </w:r>
      <w:r>
        <w:rPr>
          <w:b/>
        </w:rPr>
        <w:t>onesnaževanje tal in voda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 xml:space="preserve">v nasprotju s takim razvojem, pa so </w:t>
      </w:r>
      <w:r>
        <w:rPr>
          <w:b/>
        </w:rPr>
        <w:t>razmere v vzhodnem delu Nemčije še vedno precej nevzdržne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lastRenderedPageBreak/>
        <w:t>vode v vzhodnem delu so tako močno obremenjene</w:t>
      </w:r>
      <w:r>
        <w:t xml:space="preserve">, da jih </w:t>
      </w:r>
      <w:r>
        <w:rPr>
          <w:b/>
        </w:rPr>
        <w:t>petina že ni več uporabna niti za industrijske potrebe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pri onesnaževanju zraka</w:t>
      </w:r>
      <w:r>
        <w:t xml:space="preserve"> je bila </w:t>
      </w:r>
      <w:r>
        <w:rPr>
          <w:b/>
        </w:rPr>
        <w:t>nekdanja NDR na vrhu svetovne lestvice</w:t>
      </w:r>
    </w:p>
    <w:p w:rsidR="00E05DEB" w:rsidRDefault="004F1057">
      <w:pPr>
        <w:numPr>
          <w:ilvl w:val="0"/>
          <w:numId w:val="1"/>
        </w:numPr>
        <w:spacing w:before="120" w:after="120"/>
        <w:jc w:val="both"/>
      </w:pPr>
      <w:r>
        <w:t xml:space="preserve">predvsem </w:t>
      </w:r>
      <w:r>
        <w:rPr>
          <w:b/>
        </w:rPr>
        <w:t>kemična industrija še vedno resno ogroža zdravje zaposlenih in zdravje prebivalcev, ki živijo v okolici le-te</w:t>
      </w:r>
    </w:p>
    <w:sectPr w:rsidR="00E05DEB">
      <w:pgSz w:w="12242" w:h="15842" w:code="1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274BBB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057"/>
    <w:rsid w:val="004F1057"/>
    <w:rsid w:val="00BD2E89"/>
    <w:rsid w:val="00E0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b/>
    </w:rPr>
  </w:style>
  <w:style w:type="paragraph" w:styleId="EnvelopeReturn">
    <w:name w:val="envelope return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