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8A" w:rsidRDefault="00C71A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Pribaltske države</w:t>
      </w:r>
    </w:p>
    <w:p w:rsidR="00E7698A" w:rsidRDefault="00E7698A">
      <w:pPr>
        <w:spacing w:before="120" w:after="120"/>
        <w:jc w:val="both"/>
        <w:rPr>
          <w:b/>
        </w:rPr>
      </w:pPr>
    </w:p>
    <w:p w:rsidR="00E7698A" w:rsidRDefault="00C71A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Naravnogeografske značilnosti</w:t>
      </w:r>
    </w:p>
    <w:p w:rsidR="00E7698A" w:rsidRDefault="00E7698A">
      <w:pPr>
        <w:spacing w:before="120" w:after="120"/>
        <w:jc w:val="both"/>
        <w:rPr>
          <w:b/>
        </w:rPr>
      </w:pP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pribaltske države ležijo v zahodnem delu Ruske plošče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starost kamnin je od severa proti jugu vse manjša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severu, v Estoniji, najdemo še staropaleozojske kamnine, na jugu, v Litvi, pa že mlado mezozojske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velik pomen za izgled današnjega reliefa je imela pleistocenska poledenitev, ki je na staro osnovo odložila ledeniške (glacialne) sedimente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značilno za relief pribaltskih držav je, da se ravninski relief ob rekah menjava z nekoliko višjim, rahko valovitim svetom, vendarle pa relief nikjer ne preseže nadmorske višine 300 metrov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za vodno omrežje so značilna razvejana rečna omrežja ter številna jezera  (ledeniška akumulacijska jezera)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podnebje pribaltskih držav je izrazito prehodno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zahodnih delih se še čuti vpliv Baltika, proti vzhodu pa v notranjost vse bolj narašča stopnja kontinentalnosti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med vegetacijo prevladujejo mešani gozdovi, delež gozdnih površin pa se od juga proti severu povečuje, obratno pa seveda upada gostota poselitve</w:t>
      </w:r>
    </w:p>
    <w:p w:rsidR="00E7698A" w:rsidRDefault="00E7698A">
      <w:pPr>
        <w:spacing w:before="120" w:after="120"/>
        <w:jc w:val="both"/>
        <w:rPr>
          <w:b/>
        </w:rPr>
      </w:pPr>
    </w:p>
    <w:p w:rsidR="00E7698A" w:rsidRDefault="00E7698A">
      <w:pPr>
        <w:spacing w:before="120" w:after="120"/>
        <w:jc w:val="both"/>
        <w:rPr>
          <w:b/>
        </w:rPr>
      </w:pPr>
    </w:p>
    <w:p w:rsidR="00E7698A" w:rsidRDefault="00E7698A">
      <w:pPr>
        <w:spacing w:before="120" w:after="120"/>
        <w:jc w:val="both"/>
        <w:rPr>
          <w:b/>
        </w:rPr>
      </w:pPr>
    </w:p>
    <w:p w:rsidR="00E7698A" w:rsidRDefault="00C71A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Družbenogeoprafske značilnosti</w:t>
      </w:r>
    </w:p>
    <w:p w:rsidR="00E7698A" w:rsidRDefault="00E7698A">
      <w:pPr>
        <w:spacing w:before="120" w:after="120"/>
        <w:jc w:val="center"/>
        <w:rPr>
          <w:b/>
        </w:rPr>
      </w:pPr>
    </w:p>
    <w:p w:rsidR="00E7698A" w:rsidRDefault="00C71A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Boj za samostojnost</w:t>
      </w:r>
    </w:p>
    <w:p w:rsidR="00E7698A" w:rsidRDefault="00E7698A">
      <w:pPr>
        <w:spacing w:before="120" w:after="120"/>
        <w:jc w:val="both"/>
        <w:rPr>
          <w:b/>
        </w:rPr>
      </w:pP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položal Litve, Latvije in Estonije v razmerju do Sovjetske zveze lahko v marsičem primerjamo s položajem Slovenije v razmerju do Jugoslavije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vse te države se se namreč po kulturi in razvitosti bistveno razlikovale od drugih delov Sovjetske zveze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tudi pot do samostojnosti teh držav je bila v mnogočem podobna slovenski</w:t>
      </w:r>
    </w:p>
    <w:p w:rsidR="00E7698A" w:rsidRDefault="00E7698A">
      <w:pPr>
        <w:spacing w:before="120" w:after="120"/>
        <w:jc w:val="both"/>
        <w:rPr>
          <w:b/>
        </w:rPr>
      </w:pPr>
    </w:p>
    <w:p w:rsidR="00E7698A" w:rsidRDefault="00C71A8C">
      <w:pPr>
        <w:spacing w:before="120" w:after="120"/>
        <w:ind w:left="284"/>
        <w:jc w:val="both"/>
        <w:rPr>
          <w:b/>
        </w:rPr>
      </w:pPr>
      <w:r>
        <w:rPr>
          <w:b/>
        </w:rPr>
        <w:t>Zgodovino baltskih držav nam prikazuje prosojnica številka 1!</w:t>
      </w:r>
    </w:p>
    <w:p w:rsidR="00E7698A" w:rsidRDefault="00E7698A">
      <w:pPr>
        <w:spacing w:before="120" w:after="120"/>
        <w:jc w:val="both"/>
        <w:rPr>
          <w:b/>
        </w:rPr>
      </w:pPr>
    </w:p>
    <w:p w:rsidR="00E7698A" w:rsidRDefault="00C71A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Gospodarske razmere</w:t>
      </w:r>
    </w:p>
    <w:p w:rsidR="00E7698A" w:rsidRDefault="00E7698A">
      <w:pPr>
        <w:spacing w:before="120" w:after="120"/>
        <w:jc w:val="both"/>
        <w:rPr>
          <w:b/>
        </w:rPr>
      </w:pP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obdobju med letoma 1920 in 1940 je bilo za pribaltske države značilno dokaj visoko razvito kmetijstvo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industrijska proizvodnja je bila v tem času namenjena zgolj lastnemu trgu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 priključitvijo Sovjetski zvezi se je začela kolektivizacija kmetijstva in pospešena industrializacija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kmetijska pridelava je zato močno upadla in šele po dolgem času začela potem spet naraščati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kmetijstvo je danes usmerjeno predvsem v mlečno govedorejo in prašičerejo (mlečne, mesne in druge prehrambene produkte tudi izvažajo)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kolektivni in državni kmetijski obrati sovjetskega tipa (kolhozi in sovhozi) razpadajo, vse bolj pa se namesto njih uveljavljajo družinske kmetije</w:t>
      </w:r>
    </w:p>
    <w:p w:rsidR="00E7698A" w:rsidRDefault="00E7698A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povojna masovna industrializacije, ki je temeljila na direktivah iz Moskve, je uvajala v pribaltskih državah nove industrijske panoge, ki niso bile namenjene zgolj trgu teh držav, temveč potrebam celotnega sovjetskega tržišča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pri tem seveda niso upoštevali potreb domačega prebivalstva in lokalnih pogojev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lastRenderedPageBreak/>
        <w:t>industrija je bila večinoma vezana na uvoz (iz drugih delov SZ) surovin in energetskih virov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tehnologija pribaltskih držav je danes za zahodne standarde popolnoma zastarela, problem pribaltske industrije pa je tudi v tem, da so bile v preteklosti glede prodaje produktov močno vezane na sovjetski trg</w:t>
      </w:r>
    </w:p>
    <w:p w:rsidR="00E7698A" w:rsidRDefault="00E7698A">
      <w:pPr>
        <w:spacing w:before="120" w:after="120"/>
        <w:jc w:val="both"/>
        <w:rPr>
          <w:b/>
        </w:rPr>
      </w:pPr>
    </w:p>
    <w:p w:rsidR="00E7698A" w:rsidRDefault="00C71A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Etnična sestava prebivalstva in problemi rusifikacije</w:t>
      </w:r>
    </w:p>
    <w:p w:rsidR="00E7698A" w:rsidRDefault="00E7698A">
      <w:pPr>
        <w:spacing w:before="120" w:after="120"/>
        <w:jc w:val="both"/>
        <w:rPr>
          <w:b/>
        </w:rPr>
      </w:pP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litovski in latvijski jezik sta si sorodna in spadata v posebno baltsko skupino jezikov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estonski jezik je bistveno drugačen in spada med ugrofinske jezike (zelo je podoben finskemu)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kulturno gledano Litva sodi v katoliško Srednjo Evropo, Latvija in Estonija pa v protestantsko Severno Evropo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Estonija je tako npr. precej bližja Finski kot pa Litvi in Estoniji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nacionalna sestava pribaltskih držav se je po letu 1940 bistveno spremenila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spremenila se je zaradi velikih vojnih žrtev med drugo svetovno vojno, zaradi stalinističnega nasilja po vojni, množičnih deportaciji prebivalstva v času SZ, pa tudi zaradi industrializacije (doseljevanje iz drugih delov SZ)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slovanski doseljenci so v času SZ prihajali iz Rusije, Belorusije in Ukrajine, se naseljevali predvsem v mestih in se zaposlovali predvsem v industriji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prisilna rusifikacija je posegla v vse pore družbenega in gospodarskega življenja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etnično je danes najbolj homogena Litva, učinki rusifikacije pa so bili precej hujši v Latviji in Estoniji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pribaltske države se zato po osamosvojitvi soočajo s problemom slovanskih doseljencev</w:t>
      </w:r>
    </w:p>
    <w:p w:rsidR="00E7698A" w:rsidRDefault="00C71A8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najuspešneje so ta problem rešili v Litvi (odnosi z Rusijo so zato najmanj napeti), v Latviji in Estoniji pa so sprejeli diskriminacijske ukrepe za doseljeno prebivalstvo (omejevanje pravice do državljanstva, ...), kar je vodilo do novih nasprotij z državami naslednicami SZ</w:t>
      </w:r>
    </w:p>
    <w:p w:rsidR="00E7698A" w:rsidRDefault="00E7698A">
      <w:pPr>
        <w:spacing w:before="120" w:after="120"/>
        <w:jc w:val="both"/>
        <w:rPr>
          <w:b/>
        </w:rPr>
      </w:pPr>
    </w:p>
    <w:p w:rsidR="00E7698A" w:rsidRDefault="00E7698A">
      <w:pPr>
        <w:spacing w:before="120" w:after="120"/>
        <w:jc w:val="both"/>
        <w:rPr>
          <w:b/>
        </w:rPr>
      </w:pPr>
    </w:p>
    <w:p w:rsidR="00E7698A" w:rsidRDefault="00C71A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Zgodovina pribaltskih držav</w:t>
      </w:r>
    </w:p>
    <w:p w:rsidR="00E7698A" w:rsidRDefault="00E7698A">
      <w:pPr>
        <w:spacing w:before="120" w:after="120"/>
        <w:jc w:val="both"/>
        <w:rPr>
          <w:b/>
        </w:rPr>
      </w:pPr>
    </w:p>
    <w:p w:rsidR="00E7698A" w:rsidRDefault="00C71A8C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/>
          <w:sz w:val="28"/>
        </w:rPr>
      </w:pPr>
      <w:r>
        <w:rPr>
          <w:b/>
          <w:sz w:val="28"/>
        </w:rPr>
        <w:t>do 18. stoletja so imeli pribaltski narodi dokaj različno zgodovino</w:t>
      </w:r>
    </w:p>
    <w:p w:rsidR="00E7698A" w:rsidRDefault="00C71A8C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/>
          <w:sz w:val="28"/>
        </w:rPr>
      </w:pPr>
      <w:r>
        <w:rPr>
          <w:b/>
          <w:sz w:val="28"/>
        </w:rPr>
        <w:t>v 18. stoletja so njihova ozemlja postala del carske Rusije</w:t>
      </w:r>
    </w:p>
    <w:p w:rsidR="00E7698A" w:rsidRDefault="00C71A8C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/>
          <w:sz w:val="28"/>
        </w:rPr>
      </w:pPr>
      <w:r>
        <w:rPr>
          <w:b/>
          <w:sz w:val="28"/>
        </w:rPr>
        <w:t>po oktobrski revoluciji so Litva, Latvija in Estonija proglasile samostojnost, vojne za neodvisnost pa so trajale vse do leta 1920, ko jim je samostojnost priznala tudi Sovjetska zveza</w:t>
      </w:r>
    </w:p>
    <w:p w:rsidR="00E7698A" w:rsidRDefault="00C71A8C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/>
          <w:sz w:val="28"/>
        </w:rPr>
      </w:pPr>
      <w:r>
        <w:rPr>
          <w:b/>
          <w:sz w:val="28"/>
        </w:rPr>
        <w:t>med letoma 1920 in 1940 so tako Litva, Latvija in Estonija uživale neodvisnost</w:t>
      </w:r>
    </w:p>
    <w:p w:rsidR="00E7698A" w:rsidRDefault="00C71A8C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/>
          <w:sz w:val="28"/>
        </w:rPr>
      </w:pPr>
      <w:r>
        <w:rPr>
          <w:b/>
          <w:sz w:val="28"/>
        </w:rPr>
        <w:t>po sporazumu med Hitlerjem in Stalinom, ki sta si razdelila vplivna območja v tem delu Evrope, si je SZ leta 1940 ponovno priključila ozemlja treh pribaltskih držav</w:t>
      </w:r>
    </w:p>
    <w:p w:rsidR="00E7698A" w:rsidRDefault="00C71A8C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/>
          <w:sz w:val="28"/>
        </w:rPr>
      </w:pPr>
      <w:r>
        <w:rPr>
          <w:b/>
          <w:sz w:val="28"/>
        </w:rPr>
        <w:t>med drugo svetovno vojno so doživele nacistično zasedbo, leta 1944 pa jih je ponovno zasedla sovjetska Rdeča armada</w:t>
      </w:r>
    </w:p>
    <w:p w:rsidR="00E7698A" w:rsidRDefault="00C71A8C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/>
          <w:sz w:val="28"/>
        </w:rPr>
      </w:pPr>
      <w:r>
        <w:rPr>
          <w:b/>
          <w:sz w:val="28"/>
        </w:rPr>
        <w:t>povojni sovjetski teror je pri pribaltskih narodih sprožil oborožen odpor, ki je trajal vse do Stalinove smrti</w:t>
      </w:r>
    </w:p>
    <w:p w:rsidR="00E7698A" w:rsidRDefault="00C71A8C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/>
          <w:sz w:val="28"/>
        </w:rPr>
      </w:pPr>
      <w:r>
        <w:rPr>
          <w:b/>
          <w:sz w:val="28"/>
        </w:rPr>
        <w:t>v drugi polovici 80. let se je z demokratizacijo SZ, pod vodstvom Gorbačova, spet razmahnilo osamosvojitveno gibanje</w:t>
      </w:r>
    </w:p>
    <w:p w:rsidR="00E7698A" w:rsidRDefault="00C71A8C">
      <w:pPr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b/>
          <w:sz w:val="28"/>
        </w:rPr>
      </w:pPr>
      <w:r>
        <w:rPr>
          <w:b/>
          <w:sz w:val="28"/>
        </w:rPr>
        <w:t>leta 1990 so Litva, Latvija in Estonija razglasile samostojnost, dokončno neodvisnost pa jim je Rusija priznala šele avgusta leta 1991</w:t>
      </w:r>
    </w:p>
    <w:p w:rsidR="00E7698A" w:rsidRDefault="00C71A8C">
      <w:pPr>
        <w:spacing w:before="120" w:after="120"/>
        <w:jc w:val="both"/>
      </w:pPr>
      <w:r>
        <w:object w:dxaOrig="9585" w:dyaOrig="6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301.5pt" o:ole="">
            <v:imagedata r:id="rId5" o:title=""/>
          </v:shape>
          <o:OLEObject Type="Embed" ProgID="MSGraph" ShapeID="_x0000_i1025" DrawAspect="Content" ObjectID="_1618082225" r:id="rId6"/>
        </w:object>
      </w:r>
    </w:p>
    <w:p w:rsidR="00E7698A" w:rsidRDefault="00C71A8C">
      <w:pPr>
        <w:spacing w:before="120" w:after="120"/>
        <w:jc w:val="both"/>
        <w:rPr>
          <w:b/>
        </w:rPr>
      </w:pPr>
      <w:r>
        <w:object w:dxaOrig="9585" w:dyaOrig="6030">
          <v:shape id="_x0000_i1026" type="#_x0000_t75" style="width:478.5pt;height:301.5pt" o:ole="">
            <v:imagedata r:id="rId7" o:title=""/>
          </v:shape>
          <o:OLEObject Type="Embed" ProgID="MSGraph" ShapeID="_x0000_i1026" DrawAspect="Content" ObjectID="_1618082226" r:id="rId8"/>
        </w:object>
      </w:r>
    </w:p>
    <w:p w:rsidR="00E7698A" w:rsidRDefault="00C71A8C">
      <w:pPr>
        <w:spacing w:before="120" w:after="120"/>
        <w:jc w:val="both"/>
      </w:pPr>
      <w:r>
        <w:object w:dxaOrig="9585" w:dyaOrig="6030">
          <v:shape id="_x0000_i1027" type="#_x0000_t75" style="width:478.5pt;height:301.5pt" o:ole="">
            <v:imagedata r:id="rId9" o:title=""/>
          </v:shape>
          <o:OLEObject Type="Embed" ProgID="MSGraph" ShapeID="_x0000_i1027" DrawAspect="Content" ObjectID="_1618082227" r:id="rId10"/>
        </w:object>
      </w:r>
    </w:p>
    <w:p w:rsidR="00E7698A" w:rsidRDefault="00C71A8C">
      <w:pPr>
        <w:spacing w:before="120" w:after="120"/>
        <w:jc w:val="both"/>
      </w:pPr>
      <w:r>
        <w:object w:dxaOrig="9585" w:dyaOrig="6030">
          <v:shape id="_x0000_i1028" type="#_x0000_t75" style="width:478.5pt;height:301.5pt" o:ole="">
            <v:imagedata r:id="rId11" o:title=""/>
          </v:shape>
          <o:OLEObject Type="Embed" ProgID="MSGraph" ShapeID="_x0000_i1028" DrawAspect="Content" ObjectID="_1618082228" r:id="rId12"/>
        </w:object>
      </w:r>
    </w:p>
    <w:p w:rsidR="00E7698A" w:rsidRDefault="00E7698A">
      <w:pPr>
        <w:spacing w:before="120" w:after="120"/>
        <w:jc w:val="both"/>
      </w:pPr>
    </w:p>
    <w:p w:rsidR="00E7698A" w:rsidRDefault="00E7698A">
      <w:pPr>
        <w:spacing w:before="120" w:after="120"/>
        <w:jc w:val="both"/>
      </w:pPr>
    </w:p>
    <w:p w:rsidR="00E7698A" w:rsidRDefault="00E7698A">
      <w:pPr>
        <w:spacing w:before="120" w:after="120"/>
        <w:jc w:val="both"/>
      </w:pPr>
    </w:p>
    <w:p w:rsidR="00E7698A" w:rsidRDefault="00E7698A">
      <w:pPr>
        <w:spacing w:before="120" w:after="120"/>
        <w:jc w:val="both"/>
      </w:pPr>
    </w:p>
    <w:p w:rsidR="00E7698A" w:rsidRDefault="00E7698A">
      <w:pPr>
        <w:spacing w:before="120" w:after="120"/>
        <w:jc w:val="both"/>
      </w:pPr>
    </w:p>
    <w:p w:rsidR="00E7698A" w:rsidRDefault="00E7698A">
      <w:pPr>
        <w:spacing w:before="120" w:after="120"/>
        <w:jc w:val="both"/>
      </w:pPr>
    </w:p>
    <w:p w:rsidR="00E7698A" w:rsidRDefault="00C71A8C">
      <w:pPr>
        <w:spacing w:before="120" w:after="120"/>
        <w:jc w:val="both"/>
      </w:pPr>
      <w:r>
        <w:object w:dxaOrig="9585" w:dyaOrig="6030">
          <v:shape id="_x0000_i1029" type="#_x0000_t75" style="width:478.5pt;height:301.5pt" o:ole="">
            <v:imagedata r:id="rId13" o:title=""/>
          </v:shape>
          <o:OLEObject Type="Embed" ProgID="MSGraph" ShapeID="_x0000_i1029" DrawAspect="Content" ObjectID="_1618082229" r:id="rId14"/>
        </w:object>
      </w:r>
    </w:p>
    <w:p w:rsidR="00E7698A" w:rsidRDefault="00E7698A">
      <w:pPr>
        <w:spacing w:before="120" w:after="120"/>
        <w:jc w:val="center"/>
      </w:pPr>
    </w:p>
    <w:p w:rsidR="00E7698A" w:rsidRDefault="00C71A8C">
      <w:pPr>
        <w:spacing w:before="120" w:after="120"/>
        <w:jc w:val="both"/>
      </w:pPr>
      <w:r>
        <w:object w:dxaOrig="9585" w:dyaOrig="6030">
          <v:shape id="_x0000_i1030" type="#_x0000_t75" style="width:478.5pt;height:301.5pt" o:ole="">
            <v:imagedata r:id="rId15" o:title=""/>
          </v:shape>
          <o:OLEObject Type="Embed" ProgID="MSGraph" ShapeID="_x0000_i1030" DrawAspect="Content" ObjectID="_1618082230" r:id="rId16"/>
        </w:object>
      </w:r>
    </w:p>
    <w:p w:rsidR="00E7698A" w:rsidRDefault="00C71A8C">
      <w:pPr>
        <w:spacing w:before="120" w:after="120"/>
        <w:jc w:val="both"/>
      </w:pPr>
      <w:r>
        <w:object w:dxaOrig="9585" w:dyaOrig="6030">
          <v:shape id="_x0000_i1031" type="#_x0000_t75" style="width:471pt;height:295.5pt" o:ole="">
            <v:imagedata r:id="rId17" o:title=""/>
          </v:shape>
          <o:OLEObject Type="Embed" ProgID="MSGraph" ShapeID="_x0000_i1031" DrawAspect="Content" ObjectID="_1618082231" r:id="rId18"/>
        </w:object>
      </w:r>
    </w:p>
    <w:sectPr w:rsidR="00E7698A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64ED6F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8C"/>
    <w:rsid w:val="006159BA"/>
    <w:rsid w:val="00C71A8C"/>
    <w:rsid w:val="00E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