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622" w:rsidRDefault="00B73F1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/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Srednja Evropa</w:t>
      </w:r>
    </w:p>
    <w:p w:rsidR="00EE6622" w:rsidRDefault="00B73F1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/>
        <w:jc w:val="center"/>
        <w:rPr>
          <w:b/>
          <w:sz w:val="36"/>
        </w:rPr>
      </w:pPr>
      <w:r>
        <w:rPr>
          <w:b/>
          <w:sz w:val="36"/>
        </w:rPr>
        <w:t>Nemško-poljsko nižavje</w:t>
      </w:r>
    </w:p>
    <w:p w:rsidR="00EE6622" w:rsidRDefault="00EE6622">
      <w:pPr>
        <w:spacing w:before="120" w:after="120"/>
        <w:jc w:val="both"/>
      </w:pPr>
    </w:p>
    <w:p w:rsidR="00EE6622" w:rsidRDefault="00B73F1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/>
        <w:jc w:val="center"/>
        <w:rPr>
          <w:b/>
        </w:rPr>
      </w:pPr>
      <w:r>
        <w:rPr>
          <w:b/>
        </w:rPr>
        <w:t>Srednja Evropa</w:t>
      </w:r>
    </w:p>
    <w:p w:rsidR="00EE6622" w:rsidRDefault="00B73F18">
      <w:pPr>
        <w:numPr>
          <w:ilvl w:val="0"/>
          <w:numId w:val="1"/>
        </w:numPr>
        <w:spacing w:before="120" w:after="120"/>
        <w:jc w:val="both"/>
      </w:pPr>
      <w:r>
        <w:t xml:space="preserve">pojem </w:t>
      </w:r>
      <w:r>
        <w:rPr>
          <w:b/>
        </w:rPr>
        <w:t>Srednja Evropa</w:t>
      </w:r>
      <w:r>
        <w:t xml:space="preserve"> v sedanjosti označuje naslednje države: </w:t>
      </w:r>
      <w:r>
        <w:rPr>
          <w:b/>
        </w:rPr>
        <w:t>Nemčijo, Poljsko, Češko, Slovaško, Švico, Avstrijo, Madžarsko in lahko tudi Slovenijo</w:t>
      </w:r>
      <w:r>
        <w:t xml:space="preserve"> </w:t>
      </w:r>
    </w:p>
    <w:p w:rsidR="00EE6622" w:rsidRDefault="00EE6622">
      <w:pPr>
        <w:numPr>
          <w:ilvl w:val="12"/>
          <w:numId w:val="0"/>
        </w:numPr>
        <w:spacing w:before="120" w:after="120"/>
        <w:ind w:left="283" w:hanging="283"/>
        <w:jc w:val="both"/>
      </w:pPr>
    </w:p>
    <w:p w:rsidR="00EE6622" w:rsidRDefault="00B73F18">
      <w:pPr>
        <w:numPr>
          <w:ilvl w:val="12"/>
          <w:numId w:val="0"/>
        </w:numPr>
        <w:spacing w:before="120" w:after="120"/>
        <w:ind w:left="283" w:hanging="283"/>
        <w:jc w:val="both"/>
        <w:rPr>
          <w:b/>
        </w:rPr>
      </w:pPr>
      <w:r>
        <w:rPr>
          <w:b/>
        </w:rPr>
        <w:t>Navedene države poišči na karti v atlasu na strani 58!</w:t>
      </w:r>
    </w:p>
    <w:p w:rsidR="00EE6622" w:rsidRDefault="00EE6622">
      <w:pPr>
        <w:numPr>
          <w:ilvl w:val="12"/>
          <w:numId w:val="0"/>
        </w:numPr>
        <w:spacing w:before="120" w:after="120"/>
        <w:ind w:left="283" w:hanging="283"/>
        <w:jc w:val="both"/>
        <w:rPr>
          <w:b/>
        </w:rPr>
      </w:pPr>
    </w:p>
    <w:p w:rsidR="00EE6622" w:rsidRDefault="00B73F18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Srednjo Evropo</w:t>
      </w:r>
      <w:r>
        <w:t xml:space="preserve"> imenujemo tudi </w:t>
      </w:r>
      <w:r>
        <w:rPr>
          <w:b/>
        </w:rPr>
        <w:t>Celinska ali Centralna Evropa</w:t>
      </w:r>
      <w:r>
        <w:t xml:space="preserve">, zaradi njene lege </w:t>
      </w:r>
      <w:r>
        <w:rPr>
          <w:b/>
        </w:rPr>
        <w:t>med ostalimi deli celine</w:t>
      </w:r>
    </w:p>
    <w:p w:rsidR="00EE6622" w:rsidRDefault="00B73F18">
      <w:pPr>
        <w:numPr>
          <w:ilvl w:val="0"/>
          <w:numId w:val="1"/>
        </w:numPr>
        <w:spacing w:before="120" w:after="120"/>
        <w:jc w:val="both"/>
      </w:pPr>
      <w:r>
        <w:rPr>
          <w:b/>
        </w:rPr>
        <w:t>Srednja Evropa po naravnih značilnostih ni enotna regija</w:t>
      </w:r>
      <w:r>
        <w:t xml:space="preserve">, še </w:t>
      </w:r>
      <w:r>
        <w:rPr>
          <w:b/>
        </w:rPr>
        <w:t>manj je enotna po družbenih značilnostih</w:t>
      </w:r>
      <w:r>
        <w:t xml:space="preserve">, predvsem seveda </w:t>
      </w:r>
      <w:r>
        <w:rPr>
          <w:b/>
        </w:rPr>
        <w:t>zaradi različnega zgodovinskega razvoja</w:t>
      </w:r>
    </w:p>
    <w:p w:rsidR="00EE6622" w:rsidRDefault="00B73F18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t xml:space="preserve">še posebno </w:t>
      </w:r>
      <w:r>
        <w:rPr>
          <w:b/>
        </w:rPr>
        <w:t>velike so razlike v gospodarskem razvoju med razvitim zahodom in manj razvitim vzhodom</w:t>
      </w:r>
      <w:r>
        <w:t xml:space="preserve">, kjer se je še do nedavnega uveljavljala </w:t>
      </w:r>
      <w:r>
        <w:rPr>
          <w:b/>
        </w:rPr>
        <w:t>socialistična ureditev</w:t>
      </w:r>
    </w:p>
    <w:p w:rsidR="00EE6622" w:rsidRDefault="00B73F18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po razpadu socialističnega bloka</w:t>
      </w:r>
      <w:r>
        <w:t xml:space="preserve"> se vzhod srečuje s </w:t>
      </w:r>
      <w:r>
        <w:rPr>
          <w:b/>
        </w:rPr>
        <w:t>številnimi problemi</w:t>
      </w:r>
      <w:r>
        <w:t xml:space="preserve">, kot je npr. </w:t>
      </w:r>
      <w:r>
        <w:rPr>
          <w:b/>
        </w:rPr>
        <w:t>zmanjšanje industrijske proizvodnje, nekonkurenčnost na svetovnem trgu ter množična brezposelnost</w:t>
      </w:r>
    </w:p>
    <w:p w:rsidR="00EE6622" w:rsidRDefault="00B73F18">
      <w:pPr>
        <w:numPr>
          <w:ilvl w:val="0"/>
          <w:numId w:val="1"/>
        </w:numPr>
        <w:spacing w:before="120" w:after="120"/>
        <w:jc w:val="both"/>
      </w:pPr>
      <w:r>
        <w:rPr>
          <w:b/>
        </w:rPr>
        <w:t>pokrajinsko lahko razdelimo Srednjo Evropo na tri pokrajinske enote</w:t>
      </w:r>
      <w:r>
        <w:t>, vsako od njih si bomo ogledali posebej</w:t>
      </w:r>
    </w:p>
    <w:p w:rsidR="00EE6622" w:rsidRDefault="00EE6622">
      <w:pPr>
        <w:spacing w:before="120" w:after="120"/>
        <w:jc w:val="both"/>
      </w:pPr>
    </w:p>
    <w:p w:rsidR="00EE6622" w:rsidRDefault="00B73F1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/>
        <w:jc w:val="center"/>
        <w:rPr>
          <w:b/>
        </w:rPr>
      </w:pPr>
      <w:r>
        <w:rPr>
          <w:b/>
        </w:rPr>
        <w:t>Nemško-poljsko nižavje</w:t>
      </w:r>
    </w:p>
    <w:p w:rsidR="00EE6622" w:rsidRDefault="00B73F18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gre za nizki svet</w:t>
      </w:r>
      <w:r>
        <w:t xml:space="preserve">, ki se </w:t>
      </w:r>
      <w:r>
        <w:rPr>
          <w:b/>
        </w:rPr>
        <w:t>na severu Srednje Evrope</w:t>
      </w:r>
      <w:r>
        <w:t xml:space="preserve"> vleče </w:t>
      </w:r>
      <w:r>
        <w:rPr>
          <w:b/>
        </w:rPr>
        <w:t>od Belgije in Nizozemske čez severno Nemčijo in Poljsko proti vzhodu</w:t>
      </w:r>
    </w:p>
    <w:p w:rsidR="00EE6622" w:rsidRDefault="00B73F18">
      <w:pPr>
        <w:numPr>
          <w:ilvl w:val="0"/>
          <w:numId w:val="1"/>
        </w:numPr>
        <w:spacing w:before="120" w:after="120"/>
        <w:jc w:val="both"/>
      </w:pPr>
      <w:r>
        <w:t xml:space="preserve">pokrajina ima </w:t>
      </w:r>
      <w:r>
        <w:rPr>
          <w:b/>
        </w:rPr>
        <w:t>značaj nasutega nižavja</w:t>
      </w:r>
    </w:p>
    <w:p w:rsidR="00EE6622" w:rsidRDefault="00B73F18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lastRenderedPageBreak/>
        <w:t>naplavine današnjih rek in morja se menjavajo z glacialnimi in fluvioglacialnimi nanosi iz pleistocenske dobe</w:t>
      </w:r>
      <w:r>
        <w:t xml:space="preserve">, ko je </w:t>
      </w:r>
      <w:r>
        <w:rPr>
          <w:b/>
        </w:rPr>
        <w:t>do sem segala celinska poledenitev</w:t>
      </w:r>
    </w:p>
    <w:p w:rsidR="00EE6622" w:rsidRDefault="00EE6622">
      <w:pPr>
        <w:numPr>
          <w:ilvl w:val="12"/>
          <w:numId w:val="0"/>
        </w:numPr>
        <w:spacing w:before="120" w:after="120"/>
        <w:ind w:left="283" w:hanging="283"/>
        <w:jc w:val="both"/>
        <w:rPr>
          <w:b/>
        </w:rPr>
      </w:pPr>
    </w:p>
    <w:p w:rsidR="00EE6622" w:rsidRDefault="00B73F18">
      <w:pPr>
        <w:numPr>
          <w:ilvl w:val="12"/>
          <w:numId w:val="0"/>
        </w:numPr>
        <w:spacing w:before="120" w:after="120"/>
        <w:ind w:left="283" w:hanging="283"/>
        <w:jc w:val="both"/>
        <w:rPr>
          <w:b/>
        </w:rPr>
      </w:pPr>
      <w:r>
        <w:rPr>
          <w:b/>
        </w:rPr>
        <w:t>Karta v knjigi na strani 112 prikazuje obseg in posledice poledenitve v severnem delu Srednje Evrope!</w:t>
      </w:r>
    </w:p>
    <w:p w:rsidR="00EE6622" w:rsidRDefault="00B73F18">
      <w:pPr>
        <w:numPr>
          <w:ilvl w:val="12"/>
          <w:numId w:val="0"/>
        </w:numPr>
        <w:spacing w:before="120" w:after="120"/>
        <w:ind w:left="283" w:hanging="283"/>
        <w:jc w:val="both"/>
        <w:rPr>
          <w:b/>
        </w:rPr>
      </w:pPr>
      <w:r>
        <w:rPr>
          <w:b/>
        </w:rPr>
        <w:t>Pleistocensko poledenitev v Evropi prikazuje tudi karta I v atlasu na strani 24!</w:t>
      </w:r>
    </w:p>
    <w:p w:rsidR="00EE6622" w:rsidRDefault="00EE6622">
      <w:pPr>
        <w:numPr>
          <w:ilvl w:val="12"/>
          <w:numId w:val="0"/>
        </w:numPr>
        <w:spacing w:before="120" w:after="120"/>
        <w:ind w:left="283" w:hanging="283"/>
        <w:jc w:val="both"/>
        <w:rPr>
          <w:b/>
        </w:rPr>
      </w:pPr>
    </w:p>
    <w:p w:rsidR="00EE6622" w:rsidRDefault="00B73F18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svet morenskih in podolgovatoh fluvioglacialnih nasipov</w:t>
      </w:r>
      <w:r>
        <w:t xml:space="preserve"> ter </w:t>
      </w:r>
      <w:r>
        <w:rPr>
          <w:b/>
        </w:rPr>
        <w:t>vmesnih ledeniških jezer</w:t>
      </w:r>
      <w:r>
        <w:t xml:space="preserve"> in </w:t>
      </w:r>
      <w:r>
        <w:rPr>
          <w:b/>
        </w:rPr>
        <w:t>zamočvirjenih globeli</w:t>
      </w:r>
      <w:r>
        <w:t xml:space="preserve"> daje </w:t>
      </w:r>
      <w:r>
        <w:rPr>
          <w:b/>
        </w:rPr>
        <w:t>severovzhodnim delom</w:t>
      </w:r>
      <w:r>
        <w:t xml:space="preserve"> nižavja </w:t>
      </w:r>
      <w:r>
        <w:rPr>
          <w:b/>
        </w:rPr>
        <w:t>značaj vzpetih pojezerij</w:t>
      </w:r>
    </w:p>
    <w:p w:rsidR="00EE6622" w:rsidRDefault="00EE6622">
      <w:pPr>
        <w:numPr>
          <w:ilvl w:val="12"/>
          <w:numId w:val="0"/>
        </w:numPr>
        <w:spacing w:before="120" w:after="120"/>
        <w:ind w:left="283" w:hanging="283"/>
        <w:jc w:val="both"/>
        <w:rPr>
          <w:b/>
        </w:rPr>
      </w:pPr>
    </w:p>
    <w:p w:rsidR="00EE6622" w:rsidRDefault="00B73F18">
      <w:pPr>
        <w:numPr>
          <w:ilvl w:val="12"/>
          <w:numId w:val="0"/>
        </w:numPr>
        <w:spacing w:before="120" w:after="120"/>
        <w:ind w:left="283" w:hanging="283"/>
        <w:jc w:val="both"/>
        <w:rPr>
          <w:b/>
        </w:rPr>
      </w:pPr>
      <w:r>
        <w:rPr>
          <w:b/>
        </w:rPr>
        <w:t>Slika v knjigi na strani 112 prikazuje Mazursko pojezerje na Poljskem (južno od Kaliningrada)!</w:t>
      </w:r>
    </w:p>
    <w:p w:rsidR="00EE6622" w:rsidRDefault="00EE6622">
      <w:pPr>
        <w:numPr>
          <w:ilvl w:val="12"/>
          <w:numId w:val="0"/>
        </w:numPr>
        <w:spacing w:before="120" w:after="120"/>
        <w:ind w:left="283" w:hanging="283"/>
        <w:jc w:val="both"/>
        <w:rPr>
          <w:b/>
        </w:rPr>
      </w:pPr>
    </w:p>
    <w:p w:rsidR="00EE6622" w:rsidRDefault="00B73F18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južno od njih</w:t>
      </w:r>
      <w:r>
        <w:t xml:space="preserve"> se vlečejo</w:t>
      </w:r>
      <w:r>
        <w:rPr>
          <w:b/>
        </w:rPr>
        <w:t xml:space="preserve"> od zahoda proti vzhodu široke pradoline</w:t>
      </w:r>
      <w:r>
        <w:t xml:space="preserve">, po katerih so </w:t>
      </w:r>
      <w:r>
        <w:rPr>
          <w:b/>
        </w:rPr>
        <w:t>na obrobju ledu tekle reke, ko jim je bil le-ta zaprl dotedanjo pot na sever</w:t>
      </w:r>
    </w:p>
    <w:p w:rsidR="00EE6622" w:rsidRDefault="00B73F18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pradoline so na široko zapolnjene z rodovitnimi naplavinami</w:t>
      </w:r>
      <w:r>
        <w:t>, po njih pa se usmeril tudi</w:t>
      </w:r>
      <w:r>
        <w:rPr>
          <w:b/>
        </w:rPr>
        <w:t xml:space="preserve"> glavni železniški in rečno-kanalski promet v podolžni smeri</w:t>
      </w:r>
    </w:p>
    <w:p w:rsidR="00EE6622" w:rsidRDefault="00B73F18">
      <w:pPr>
        <w:numPr>
          <w:ilvl w:val="0"/>
          <w:numId w:val="1"/>
        </w:numPr>
        <w:spacing w:before="120" w:after="120"/>
        <w:jc w:val="both"/>
      </w:pPr>
      <w:r>
        <w:rPr>
          <w:b/>
        </w:rPr>
        <w:t>v prečni smeri</w:t>
      </w:r>
      <w:r>
        <w:t xml:space="preserve">, iz notranjosti Srednje Evrope proti morju, </w:t>
      </w:r>
      <w:r>
        <w:rPr>
          <w:b/>
        </w:rPr>
        <w:t>predstavljajo pomembne prometne poti velike reke</w:t>
      </w:r>
      <w:r>
        <w:t>, ki izvirajo že v sredogorskem svetu, deloma celo v Alpah in karpatih, tečejo nekaj časa po pradolinah, potem pa znova zavijejo proti severu, oziroma proti morju (npr. Laba, Odra, Visla)</w:t>
      </w:r>
    </w:p>
    <w:p w:rsidR="00EE6622" w:rsidRDefault="00B73F18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za obale Severnega in Baltiškega morja</w:t>
      </w:r>
      <w:r>
        <w:t xml:space="preserve"> so</w:t>
      </w:r>
      <w:r>
        <w:rPr>
          <w:b/>
        </w:rPr>
        <w:t xml:space="preserve"> značilne sveže ali že porasle primorske sipine</w:t>
      </w:r>
      <w:r>
        <w:t>, za katerimi so marsikje</w:t>
      </w:r>
      <w:r>
        <w:rPr>
          <w:b/>
        </w:rPr>
        <w:t xml:space="preserve"> nastali zalivi ali jezera lagunskega tipa</w:t>
      </w:r>
    </w:p>
    <w:p w:rsidR="00EE6622" w:rsidRDefault="00B73F18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kjer svet nižine ni obdelan</w:t>
      </w:r>
      <w:r>
        <w:t xml:space="preserve">, ga prekrivajo </w:t>
      </w:r>
      <w:r>
        <w:rPr>
          <w:b/>
        </w:rPr>
        <w:t>listnati</w:t>
      </w:r>
      <w:r>
        <w:t xml:space="preserve">, na bolj </w:t>
      </w:r>
      <w:r>
        <w:rPr>
          <w:b/>
        </w:rPr>
        <w:t>peščenih tleh</w:t>
      </w:r>
      <w:r>
        <w:t xml:space="preserve"> pa tudi </w:t>
      </w:r>
      <w:r>
        <w:rPr>
          <w:b/>
        </w:rPr>
        <w:t>borovi gozdovi</w:t>
      </w:r>
    </w:p>
    <w:p w:rsidR="00EE6622" w:rsidRDefault="00B73F18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podnebje</w:t>
      </w:r>
      <w:r>
        <w:t xml:space="preserve"> je tu že</w:t>
      </w:r>
      <w:r>
        <w:rPr>
          <w:b/>
        </w:rPr>
        <w:t xml:space="preserve"> hladnejše</w:t>
      </w:r>
      <w:r>
        <w:t xml:space="preserve">, </w:t>
      </w:r>
      <w:r>
        <w:rPr>
          <w:b/>
        </w:rPr>
        <w:t>s kratkim poletjem</w:t>
      </w:r>
      <w:r>
        <w:t xml:space="preserve">, a vendar še precej </w:t>
      </w:r>
      <w:r>
        <w:rPr>
          <w:b/>
        </w:rPr>
        <w:t>pod vplivom oceana</w:t>
      </w:r>
    </w:p>
    <w:p w:rsidR="00EE6622" w:rsidRDefault="00B73F18">
      <w:pPr>
        <w:numPr>
          <w:ilvl w:val="0"/>
          <w:numId w:val="1"/>
        </w:numPr>
        <w:spacing w:before="120" w:after="120"/>
        <w:jc w:val="both"/>
      </w:pPr>
      <w:r>
        <w:rPr>
          <w:b/>
        </w:rPr>
        <w:t>vpliv oceana slabi proti vzhodu</w:t>
      </w:r>
      <w:r>
        <w:t xml:space="preserve">, </w:t>
      </w:r>
      <w:r>
        <w:rPr>
          <w:b/>
        </w:rPr>
        <w:t>od morja proti notranjosti</w:t>
      </w:r>
      <w:r>
        <w:t xml:space="preserve"> pa </w:t>
      </w:r>
      <w:r>
        <w:rPr>
          <w:b/>
        </w:rPr>
        <w:t>upada tudi količina padavin</w:t>
      </w:r>
    </w:p>
    <w:sectPr w:rsidR="00EE6622">
      <w:pgSz w:w="12242" w:h="15842" w:code="1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B560250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3F18"/>
    <w:rsid w:val="0082037B"/>
    <w:rsid w:val="00B73F18"/>
    <w:rsid w:val="00EE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before="120" w:after="120" w:line="360" w:lineRule="auto"/>
      <w:ind w:left="170" w:firstLine="17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120" w:after="120" w:line="360" w:lineRule="auto"/>
      <w:ind w:left="170" w:firstLine="170"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b/>
    </w:rPr>
  </w:style>
  <w:style w:type="paragraph" w:styleId="EnvelopeReturn">
    <w:name w:val="envelope return"/>
    <w:basedOn w:val="Normal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