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D86E" w14:textId="77777777" w:rsidR="00366BB9" w:rsidRDefault="00366BB9">
      <w:pPr>
        <w:rPr>
          <w:rFonts w:ascii="Arial" w:hAnsi="Arial"/>
          <w:b/>
          <w:bCs/>
          <w:sz w:val="32"/>
          <w:szCs w:val="32"/>
        </w:rPr>
      </w:pPr>
      <w:bookmarkStart w:id="0" w:name="_GoBack"/>
      <w:bookmarkEnd w:id="0"/>
    </w:p>
    <w:p w14:paraId="25A6BA05" w14:textId="77777777" w:rsidR="00366BB9" w:rsidRDefault="006A419E">
      <w:pPr>
        <w:jc w:val="center"/>
        <w:rPr>
          <w:rFonts w:ascii="Arial" w:hAnsi="Arial"/>
          <w:b/>
          <w:bCs/>
          <w:sz w:val="48"/>
          <w:szCs w:val="48"/>
        </w:rPr>
      </w:pPr>
      <w:r>
        <w:rPr>
          <w:rFonts w:ascii="Arial" w:hAnsi="Arial"/>
          <w:b/>
          <w:bCs/>
          <w:sz w:val="48"/>
          <w:szCs w:val="48"/>
        </w:rPr>
        <w:t>ORIENTACIJA IN PROUČEVANJE GOSPODARSTVA V STRUNJANU</w:t>
      </w:r>
    </w:p>
    <w:p w14:paraId="083B254A" w14:textId="77777777" w:rsidR="00366BB9" w:rsidRDefault="00366BB9">
      <w:pPr>
        <w:jc w:val="center"/>
        <w:rPr>
          <w:rFonts w:ascii="Arial" w:hAnsi="Arial"/>
          <w:b/>
          <w:bCs/>
          <w:sz w:val="32"/>
          <w:szCs w:val="32"/>
        </w:rPr>
      </w:pPr>
    </w:p>
    <w:p w14:paraId="601248B2" w14:textId="77777777" w:rsidR="00366BB9" w:rsidRDefault="00366BB9">
      <w:pPr>
        <w:jc w:val="center"/>
        <w:rPr>
          <w:rFonts w:ascii="Arial" w:hAnsi="Arial"/>
          <w:sz w:val="28"/>
          <w:szCs w:val="28"/>
        </w:rPr>
      </w:pPr>
    </w:p>
    <w:p w14:paraId="387BB313" w14:textId="77777777" w:rsidR="00366BB9" w:rsidRDefault="006A419E">
      <w:pPr>
        <w:pStyle w:val="BodyText"/>
        <w:jc w:val="both"/>
        <w:rPr>
          <w:rFonts w:ascii="Arial" w:hAnsi="Arial"/>
        </w:rPr>
      </w:pPr>
      <w:r>
        <w:rPr>
          <w:rFonts w:ascii="Arial" w:hAnsi="Arial"/>
          <w:sz w:val="28"/>
          <w:szCs w:val="28"/>
        </w:rPr>
        <w:tab/>
      </w:r>
      <w:r>
        <w:rPr>
          <w:rFonts w:ascii="Arial" w:hAnsi="Arial"/>
        </w:rPr>
        <w:t xml:space="preserve">Strunjan je prijetno, mirno, letoviško naselje s 520 prebivalci. Leži na jugozahodnem delu Slovenije, ob Strunjanskem zalivu. Naravne značilnost, ki sem privabljajo številne turiste so obmorska klima, zalivska lega, čisto morje, neokrnjena narava, soline, veliko sončnih dni ter malo padavin. Vsekakor si je vredno ogladeati soline, zaščiten drevored pinij, naravni rezervat, romarsko cerkvico, laguno, Strunjanski križ ter flišni Strunjanski polotok z 80 meterskim prepadom. </w:t>
      </w:r>
    </w:p>
    <w:p w14:paraId="7C91B4A5" w14:textId="77777777" w:rsidR="00366BB9" w:rsidRDefault="006A419E">
      <w:pPr>
        <w:pStyle w:val="BodyText"/>
        <w:jc w:val="both"/>
        <w:rPr>
          <w:rFonts w:ascii="Arial" w:hAnsi="Arial"/>
        </w:rPr>
      </w:pPr>
      <w:r>
        <w:rPr>
          <w:rFonts w:ascii="Arial" w:hAnsi="Arial"/>
        </w:rPr>
        <w:tab/>
        <w:t>V Strunjanu smo opravili vajo iz orientacije. Orientirati smo morali svoj zemljevid ter izmeriti azimut do cerkvice Sv. Jurija v Piranu. Azimut je kot med severom in izbrano točko in je v našem primeru znašal 263º.</w:t>
      </w:r>
    </w:p>
    <w:p w14:paraId="7CCC087C" w14:textId="77777777" w:rsidR="00366BB9" w:rsidRDefault="006A419E">
      <w:pPr>
        <w:pStyle w:val="BodyText"/>
        <w:spacing w:line="100" w:lineRule="atLeast"/>
        <w:jc w:val="both"/>
        <w:rPr>
          <w:rFonts w:ascii="Arial" w:hAnsi="Arial"/>
        </w:rPr>
      </w:pPr>
      <w:r>
        <w:rPr>
          <w:rFonts w:ascii="Arial" w:hAnsi="Arial"/>
        </w:rPr>
        <w:t>S pomočjo vrvice in karte smo morali ugotoviti dolžino klifne obale med rtom Kane in rtom Strunjan in prišli do zaključka, da meri 3,45 km. Nato pa smo izračunali še v kolikšnem času bi jo prehodil človek, če predpostavljamo, da v eni uri prehodi 4 km. Klifno obalo bi tako prehodil v 52 minutah.</w:t>
      </w:r>
    </w:p>
    <w:p w14:paraId="3A6E88A4" w14:textId="77777777" w:rsidR="00366BB9" w:rsidRDefault="006A419E">
      <w:pPr>
        <w:pStyle w:val="BodyText"/>
        <w:jc w:val="both"/>
        <w:rPr>
          <w:rFonts w:ascii="Arial" w:hAnsi="Arial"/>
        </w:rPr>
      </w:pPr>
      <w:r>
        <w:rPr>
          <w:rFonts w:ascii="Arial" w:hAnsi="Arial"/>
        </w:rPr>
        <w:t>Izmerili smo dolžino lagune Štjuža, zopet s pomočjo vrvice in zemljevida. Laguna Štjuža meri 530 m.</w:t>
      </w:r>
    </w:p>
    <w:p w14:paraId="3D7CBE57" w14:textId="77777777" w:rsidR="00366BB9" w:rsidRDefault="006A419E">
      <w:pPr>
        <w:pStyle w:val="BodyText"/>
        <w:jc w:val="both"/>
        <w:rPr>
          <w:rFonts w:ascii="Arial" w:hAnsi="Arial"/>
        </w:rPr>
      </w:pPr>
      <w:r>
        <w:rPr>
          <w:rFonts w:ascii="Arial" w:hAnsi="Arial"/>
        </w:rPr>
        <w:t>Določili smo tudi kraj, ki bi bil iz našega stojišča viden v severozahodni smeri in sicer v Italiji. Videli bi Gradež, vidljivost pa bi morala biti vsaj 22,5 km.</w:t>
      </w:r>
    </w:p>
    <w:p w14:paraId="759EE35F" w14:textId="77777777" w:rsidR="00366BB9" w:rsidRDefault="006A419E">
      <w:pPr>
        <w:pStyle w:val="BodyText"/>
        <w:jc w:val="both"/>
        <w:rPr>
          <w:rFonts w:ascii="Arial" w:hAnsi="Arial"/>
        </w:rPr>
      </w:pPr>
      <w:r>
        <w:rPr>
          <w:rFonts w:ascii="Arial" w:hAnsi="Arial"/>
        </w:rPr>
        <w:t>Z opazovanjem smo morali ugotoviti, katere gospodarske dejavnosti o razvite in kateri dejavniki pogojujejo njihov razvoj. Prvo kar sem opazila je bil seveda turizem, natančnejše zdravilišče. Pogoj, da se je tu ravilo gre iskati v obmorski klimi in  zatišni legi v zalivu, kar mnogim turistom zelo ustreza. Od nekdanjih solin je danes ostal le še muzej, ki pa aktivno deluje. Prikazuje tradicionalen način pridelovanja solin ter nekdanje življenje solinarjev na solinah. Pogoj za nastaneg muzeja so bile predhodno delujoče soline. Na to, da so se te razvile prav tu, pa je vplivalo plitvo morje ter primerno podnebje s suhim vetrom. Poleg zdravilišča so na voljo še številni apartmaji, po katerih ljudje pogosto povprašujejo. So namreč blizu obale, voda v tem delu pa je zelo čista. Na samem morju pa je gojišče školjk klapavic. Predpogoj zanj pa je bilo čisto morje. Klapavice namreč čistijo morje in če to ni čisto, so zdravju nevarne. V manjšem obsegu pa je razvito tudi oljkarstvo. Pred časom so ga domačini opustili, sedaj pa ga počasi uvajajo nazaj, kar je seveda pravilno, saj bi bilo škoda, da ne bi izkoristili ugodne submediteranske klime, ki jo oljke potrebujejo za uspevanje.</w:t>
      </w:r>
    </w:p>
    <w:p w14:paraId="6B85B68F" w14:textId="77777777" w:rsidR="00366BB9" w:rsidRDefault="006A419E">
      <w:pPr>
        <w:pStyle w:val="BodyText"/>
        <w:jc w:val="both"/>
        <w:rPr>
          <w:rFonts w:ascii="Arial" w:hAnsi="Arial"/>
        </w:rPr>
      </w:pPr>
      <w:r>
        <w:rPr>
          <w:rFonts w:ascii="Arial" w:hAnsi="Arial"/>
        </w:rPr>
        <w:t>Po mojem mnenju solin ne bi smeli opustiti in jih omejiti zgolj na muzejsko dejavnost. Vzdrževati bi morali tradicijo, kot to počnejo v Sečovljah. Bolj pa bi morali promovirati tudi naravne posebnosti tega območja, ki so zelo pestre in jih večina ljudi sploh ne pozna. Organizirati bi morali učne programe za šolsko mladino in tudi za ostale starostne skupine.  Na tem območju je namreč poleg solin, še veliko zanimivosti. Izrazita nihanja slanosti vplivajo na prilagojenost rastlin in živali na skrajne razmere. V izvirih ob Strunjanskem potoku živijo redke podzemeljske vrste, kot npr. Polž Istriana mirnae. Znotraj parka je še nekaj posebej zavarovanih območji, prav tako vrednih ogleda, npr. Naravni rezervat klif strunjanskega polotoka, zoološki in hidrološki naravni spomenik Štjuža, drevored pinij v Strunjanu itd. Veliko stvari, ki pa so ljudem nepoznane in zato ostajajo skrite.</w:t>
      </w:r>
    </w:p>
    <w:p w14:paraId="03B98051" w14:textId="77777777" w:rsidR="00366BB9" w:rsidRDefault="006A419E">
      <w:pPr>
        <w:pStyle w:val="BodyText"/>
        <w:jc w:val="both"/>
        <w:rPr>
          <w:rFonts w:ascii="Arial" w:hAnsi="Arial"/>
        </w:rPr>
      </w:pPr>
      <w:r>
        <w:rPr>
          <w:rFonts w:ascii="Arial" w:hAnsi="Arial"/>
        </w:rPr>
        <w:tab/>
        <w:t>V Strunjanu smo vsekakor doživeli nekaj prijetnih uric v sproščujočem okolju. Morska klima je ugodno delovala na naša dihala, med tem ko smo mi opazovali okolico.</w:t>
      </w:r>
    </w:p>
    <w:tbl>
      <w:tblPr>
        <w:tblW w:w="0" w:type="auto"/>
        <w:jc w:val="center"/>
        <w:tblLayout w:type="fixed"/>
        <w:tblCellMar>
          <w:left w:w="0" w:type="dxa"/>
          <w:right w:w="0" w:type="dxa"/>
        </w:tblCellMar>
        <w:tblLook w:val="0000" w:firstRow="0" w:lastRow="0" w:firstColumn="0" w:lastColumn="0" w:noHBand="0" w:noVBand="0"/>
      </w:tblPr>
      <w:tblGrid>
        <w:gridCol w:w="57"/>
        <w:gridCol w:w="9425"/>
        <w:gridCol w:w="58"/>
      </w:tblGrid>
      <w:tr w:rsidR="00366BB9" w14:paraId="7E9ACF70" w14:textId="77777777">
        <w:trPr>
          <w:jc w:val="center"/>
        </w:trPr>
        <w:tc>
          <w:tcPr>
            <w:tcW w:w="57" w:type="dxa"/>
          </w:tcPr>
          <w:p w14:paraId="7E7C5A58" w14:textId="77777777" w:rsidR="00366BB9" w:rsidRDefault="00366BB9">
            <w:pPr>
              <w:pStyle w:val="TableContents"/>
              <w:rPr>
                <w:sz w:val="4"/>
                <w:szCs w:val="4"/>
              </w:rPr>
            </w:pPr>
          </w:p>
        </w:tc>
        <w:tc>
          <w:tcPr>
            <w:tcW w:w="9425" w:type="dxa"/>
            <w:shd w:val="clear" w:color="auto" w:fill="FFFFFF"/>
            <w:vAlign w:val="center"/>
          </w:tcPr>
          <w:p w14:paraId="03A2E7A5" w14:textId="77777777" w:rsidR="00366BB9" w:rsidRDefault="00366BB9">
            <w:pPr>
              <w:pStyle w:val="TableContents"/>
              <w:rPr>
                <w:rFonts w:ascii="Arial" w:hAnsi="Arial"/>
                <w:color w:val="505050"/>
                <w:sz w:val="20"/>
              </w:rPr>
            </w:pPr>
          </w:p>
        </w:tc>
        <w:tc>
          <w:tcPr>
            <w:tcW w:w="58" w:type="dxa"/>
          </w:tcPr>
          <w:p w14:paraId="1B9D5A38" w14:textId="77777777" w:rsidR="00366BB9" w:rsidRDefault="00366BB9">
            <w:pPr>
              <w:pStyle w:val="TableContents"/>
              <w:rPr>
                <w:sz w:val="4"/>
                <w:szCs w:val="4"/>
              </w:rPr>
            </w:pPr>
          </w:p>
        </w:tc>
      </w:tr>
      <w:tr w:rsidR="00366BB9" w14:paraId="00AC12A3" w14:textId="77777777">
        <w:trPr>
          <w:jc w:val="center"/>
        </w:trPr>
        <w:tc>
          <w:tcPr>
            <w:tcW w:w="9540" w:type="dxa"/>
            <w:gridSpan w:val="3"/>
            <w:tcMar>
              <w:top w:w="28" w:type="dxa"/>
              <w:left w:w="28" w:type="dxa"/>
              <w:bottom w:w="28" w:type="dxa"/>
              <w:right w:w="28" w:type="dxa"/>
            </w:tcMar>
          </w:tcPr>
          <w:p w14:paraId="1414E544" w14:textId="77777777" w:rsidR="00366BB9" w:rsidRDefault="00366BB9">
            <w:pPr>
              <w:pStyle w:val="TableContents"/>
              <w:rPr>
                <w:sz w:val="4"/>
                <w:szCs w:val="4"/>
              </w:rPr>
            </w:pPr>
          </w:p>
        </w:tc>
      </w:tr>
      <w:tr w:rsidR="00366BB9" w14:paraId="768C13B5" w14:textId="77777777">
        <w:trPr>
          <w:jc w:val="center"/>
        </w:trPr>
        <w:tc>
          <w:tcPr>
            <w:tcW w:w="9540" w:type="dxa"/>
            <w:gridSpan w:val="3"/>
          </w:tcPr>
          <w:p w14:paraId="64539BC7" w14:textId="77777777" w:rsidR="00366BB9" w:rsidRDefault="00366BB9">
            <w:pPr>
              <w:pStyle w:val="TableContents"/>
              <w:rPr>
                <w:sz w:val="4"/>
                <w:szCs w:val="4"/>
              </w:rPr>
            </w:pPr>
          </w:p>
        </w:tc>
      </w:tr>
    </w:tbl>
    <w:p w14:paraId="76DCFA11" w14:textId="77777777" w:rsidR="00366BB9" w:rsidRDefault="00366BB9">
      <w:pPr>
        <w:pStyle w:val="BodyText"/>
        <w:jc w:val="both"/>
        <w:rPr>
          <w:rFonts w:ascii="Arial" w:hAnsi="Arial"/>
        </w:rPr>
      </w:pPr>
    </w:p>
    <w:p w14:paraId="16724CFF" w14:textId="77777777" w:rsidR="00366BB9" w:rsidRDefault="00366BB9">
      <w:pPr>
        <w:pStyle w:val="BodyText"/>
        <w:jc w:val="both"/>
        <w:rPr>
          <w:rFonts w:ascii="Arial" w:hAnsi="Arial"/>
        </w:rPr>
      </w:pPr>
    </w:p>
    <w:p w14:paraId="3A009EFD" w14:textId="77777777" w:rsidR="00366BB9" w:rsidRDefault="00366BB9">
      <w:pPr>
        <w:pStyle w:val="BodyText"/>
        <w:jc w:val="both"/>
        <w:rPr>
          <w:rFonts w:ascii="Arial" w:hAnsi="Arial"/>
        </w:rPr>
      </w:pPr>
    </w:p>
    <w:p w14:paraId="44E02D45" w14:textId="77777777" w:rsidR="00366BB9" w:rsidRDefault="00366BB9">
      <w:pPr>
        <w:pStyle w:val="BodyText"/>
        <w:jc w:val="both"/>
        <w:rPr>
          <w:rFonts w:ascii="Arial" w:hAnsi="Arial"/>
        </w:rPr>
      </w:pPr>
    </w:p>
    <w:p w14:paraId="67359657" w14:textId="77777777" w:rsidR="00366BB9" w:rsidRDefault="006A419E">
      <w:pPr>
        <w:pStyle w:val="BodyText"/>
        <w:jc w:val="both"/>
        <w:rPr>
          <w:rFonts w:ascii="Arial" w:hAnsi="Arial"/>
          <w:b/>
          <w:bCs/>
        </w:rPr>
      </w:pPr>
      <w:r>
        <w:rPr>
          <w:rFonts w:ascii="Arial" w:hAnsi="Arial"/>
          <w:b/>
          <w:bCs/>
        </w:rPr>
        <w:t>VIRI IN LITERATURA:</w:t>
      </w:r>
    </w:p>
    <w:p w14:paraId="0DD5857D" w14:textId="77777777" w:rsidR="00366BB9" w:rsidRDefault="006A419E">
      <w:pPr>
        <w:pStyle w:val="BodyText"/>
        <w:numPr>
          <w:ilvl w:val="0"/>
          <w:numId w:val="1"/>
        </w:numPr>
        <w:tabs>
          <w:tab w:val="left" w:pos="283"/>
        </w:tabs>
        <w:jc w:val="both"/>
        <w:rPr>
          <w:rFonts w:ascii="Arial" w:hAnsi="Arial"/>
        </w:rPr>
      </w:pPr>
      <w:r>
        <w:rPr>
          <w:rFonts w:ascii="Arial" w:hAnsi="Arial"/>
        </w:rPr>
        <w:t>http://www2.arnes.si/~sspmvici/SSC_bilten</w:t>
      </w:r>
    </w:p>
    <w:p w14:paraId="536EC5E1" w14:textId="77777777" w:rsidR="00366BB9" w:rsidRDefault="006A419E">
      <w:pPr>
        <w:pStyle w:val="BodyText"/>
        <w:numPr>
          <w:ilvl w:val="0"/>
          <w:numId w:val="1"/>
        </w:numPr>
        <w:tabs>
          <w:tab w:val="left" w:pos="283"/>
        </w:tabs>
        <w:spacing w:line="100" w:lineRule="atLeast"/>
        <w:jc w:val="both"/>
        <w:rPr>
          <w:rFonts w:ascii="Arial" w:hAnsi="Arial"/>
        </w:rPr>
      </w:pPr>
      <w:r>
        <w:rPr>
          <w:rFonts w:ascii="Arial" w:hAnsi="Arial"/>
        </w:rPr>
        <w:t>Ivan Gams, GEOGRAFSKE ZNAČILNOSTI SLOVENIJE, Založba Mladinska knjiga, Ljubljana 1998</w:t>
      </w:r>
    </w:p>
    <w:p w14:paraId="5BAA2ECA" w14:textId="77777777" w:rsidR="00366BB9" w:rsidRDefault="006A419E">
      <w:pPr>
        <w:pStyle w:val="BodyText"/>
        <w:numPr>
          <w:ilvl w:val="0"/>
          <w:numId w:val="1"/>
        </w:numPr>
        <w:tabs>
          <w:tab w:val="left" w:pos="283"/>
        </w:tabs>
        <w:spacing w:line="100" w:lineRule="atLeast"/>
        <w:jc w:val="both"/>
        <w:rPr>
          <w:rFonts w:ascii="Arial" w:hAnsi="Arial"/>
        </w:rPr>
      </w:pPr>
      <w:r>
        <w:rPr>
          <w:rFonts w:ascii="Arial" w:hAnsi="Arial"/>
        </w:rPr>
        <w:t>dr. Jurij Kunaver, OBČA GEOGRAFIJA, DZS, Ljubljana 2000</w:t>
      </w:r>
    </w:p>
    <w:p w14:paraId="1516998B" w14:textId="15D1B48D" w:rsidR="00366BB9" w:rsidRDefault="00366BB9">
      <w:pPr>
        <w:rPr>
          <w:rFonts w:ascii="Arial" w:hAnsi="Arial"/>
          <w:sz w:val="28"/>
          <w:szCs w:val="28"/>
        </w:rPr>
      </w:pPr>
    </w:p>
    <w:sectPr w:rsidR="00366BB9">
      <w:footnotePr>
        <w:pos w:val="beneathText"/>
        <w:numRestart w:val="eachPage"/>
      </w:footnotePr>
      <w:endnotePr>
        <w:numFmt w:val="decimal"/>
      </w:end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19E"/>
    <w:rsid w:val="000D7FEF"/>
    <w:rsid w:val="00366BB9"/>
    <w:rsid w:val="006A419E"/>
    <w:rsid w:val="00F42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semiHidden/>
  </w:style>
  <w:style w:type="paragraph" w:styleId="List">
    <w:name w:val="List"/>
    <w:basedOn w:val="BodyText"/>
    <w:semiHidden/>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