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E50" w:rsidRPr="0081210B" w:rsidRDefault="003B5E50" w:rsidP="003B5E50">
      <w:bookmarkStart w:id="0" w:name="_GoBack"/>
      <w:bookmarkEnd w:id="0"/>
    </w:p>
    <w:p w:rsidR="003B5E50" w:rsidRPr="0081210B" w:rsidRDefault="003B5E50" w:rsidP="003B5E50"/>
    <w:p w:rsidR="003B5E50" w:rsidRPr="0081210B" w:rsidRDefault="003B5E50" w:rsidP="003B5E50"/>
    <w:p w:rsidR="003B5E50" w:rsidRPr="0081210B" w:rsidRDefault="003B5E50" w:rsidP="003B5E50"/>
    <w:p w:rsidR="003B5E50" w:rsidRPr="0081210B" w:rsidRDefault="003B5E50" w:rsidP="003B5E50"/>
    <w:p w:rsidR="003B5E50" w:rsidRPr="0081210B" w:rsidRDefault="003B5E50" w:rsidP="003B5E50"/>
    <w:p w:rsidR="003B5E50" w:rsidRPr="0081210B" w:rsidRDefault="003B5E50" w:rsidP="003B5E50"/>
    <w:p w:rsidR="003B5E50" w:rsidRPr="003B5E50" w:rsidRDefault="003B5E50" w:rsidP="003B5E50">
      <w:pPr>
        <w:jc w:val="center"/>
        <w:rPr>
          <w:sz w:val="28"/>
          <w:szCs w:val="28"/>
        </w:rPr>
      </w:pPr>
      <w:r w:rsidRPr="003B5E50">
        <w:rPr>
          <w:sz w:val="28"/>
          <w:szCs w:val="28"/>
        </w:rPr>
        <w:t>4. vaja pri predmetu geografija:</w:t>
      </w:r>
    </w:p>
    <w:p w:rsidR="003B5E50" w:rsidRPr="0081210B" w:rsidRDefault="003B5E50" w:rsidP="003B5E50">
      <w:pPr>
        <w:ind w:left="360"/>
        <w:rPr>
          <w:sz w:val="52"/>
          <w:szCs w:val="52"/>
        </w:rPr>
      </w:pPr>
    </w:p>
    <w:p w:rsidR="003B5E50" w:rsidRPr="003B5E50" w:rsidRDefault="003B5E50" w:rsidP="003B5E50">
      <w:pPr>
        <w:ind w:left="360"/>
        <w:jc w:val="center"/>
        <w:rPr>
          <w:b/>
          <w:sz w:val="44"/>
          <w:szCs w:val="44"/>
        </w:rPr>
      </w:pPr>
      <w:r w:rsidRPr="003B5E50">
        <w:rPr>
          <w:b/>
          <w:sz w:val="44"/>
          <w:szCs w:val="44"/>
        </w:rPr>
        <w:t>Statistična obdelava, prikaz ter analiza podatkov na osnovi popisa prebivalstva</w:t>
      </w:r>
    </w:p>
    <w:p w:rsidR="003B5E50" w:rsidRPr="003B5E50" w:rsidRDefault="002C3CE0" w:rsidP="003B5E50">
      <w:pPr>
        <w:ind w:left="360"/>
        <w:jc w:val="center"/>
      </w:pPr>
      <w:r>
        <w:rPr>
          <w:b/>
        </w:rPr>
        <w:t xml:space="preserve"> </w:t>
      </w:r>
    </w:p>
    <w:p w:rsidR="003B5E50" w:rsidRPr="0081210B" w:rsidRDefault="003B5E50" w:rsidP="003B5E50">
      <w:pPr>
        <w:ind w:left="360"/>
        <w:jc w:val="center"/>
        <w:rPr>
          <w:b/>
          <w:sz w:val="28"/>
          <w:szCs w:val="28"/>
        </w:rPr>
      </w:pPr>
    </w:p>
    <w:p w:rsidR="003B5E50" w:rsidRPr="0081210B" w:rsidRDefault="003B5E50" w:rsidP="003B5E50">
      <w:pPr>
        <w:rPr>
          <w:b/>
          <w:sz w:val="72"/>
          <w:szCs w:val="72"/>
        </w:rPr>
      </w:pPr>
    </w:p>
    <w:p w:rsidR="003B5E50" w:rsidRPr="0081210B" w:rsidRDefault="003B5E50" w:rsidP="003B5E50">
      <w:pPr>
        <w:ind w:left="360"/>
        <w:jc w:val="center"/>
        <w:rPr>
          <w:b/>
          <w:sz w:val="72"/>
          <w:szCs w:val="72"/>
        </w:rPr>
      </w:pPr>
    </w:p>
    <w:p w:rsidR="003B5E50" w:rsidRPr="0081210B" w:rsidRDefault="003B5E50" w:rsidP="003B5E50">
      <w:pPr>
        <w:ind w:left="360"/>
        <w:jc w:val="center"/>
        <w:rPr>
          <w:b/>
          <w:sz w:val="72"/>
          <w:szCs w:val="72"/>
        </w:rPr>
      </w:pPr>
    </w:p>
    <w:p w:rsidR="003B5E50" w:rsidRPr="0081210B" w:rsidRDefault="003B5E50" w:rsidP="003B5E50">
      <w:pPr>
        <w:rPr>
          <w:b/>
          <w:sz w:val="72"/>
          <w:szCs w:val="72"/>
        </w:rPr>
      </w:pPr>
    </w:p>
    <w:p w:rsidR="003B5E50" w:rsidRPr="0081210B" w:rsidRDefault="003B5E50" w:rsidP="002C3CE0">
      <w:pPr>
        <w:rPr>
          <w:b/>
          <w:sz w:val="36"/>
          <w:szCs w:val="36"/>
        </w:rPr>
      </w:pPr>
      <w:r w:rsidRPr="0081210B">
        <w:rPr>
          <w:b/>
          <w:sz w:val="72"/>
          <w:szCs w:val="72"/>
        </w:rPr>
        <w:t xml:space="preserve">                                      </w:t>
      </w:r>
      <w:r w:rsidR="002C3CE0">
        <w:rPr>
          <w:sz w:val="36"/>
          <w:szCs w:val="36"/>
        </w:rPr>
        <w:t xml:space="preserve"> </w:t>
      </w:r>
    </w:p>
    <w:p w:rsidR="003B5E50" w:rsidRPr="0081210B" w:rsidRDefault="003B5E50" w:rsidP="003B5E50">
      <w:pPr>
        <w:ind w:left="360"/>
        <w:jc w:val="center"/>
        <w:rPr>
          <w:b/>
          <w:sz w:val="36"/>
          <w:szCs w:val="36"/>
        </w:rPr>
      </w:pPr>
    </w:p>
    <w:p w:rsidR="003B5E50" w:rsidRPr="0081210B" w:rsidRDefault="003B5E50" w:rsidP="003B5E50">
      <w:pPr>
        <w:ind w:left="360"/>
        <w:jc w:val="center"/>
        <w:rPr>
          <w:b/>
          <w:sz w:val="36"/>
          <w:szCs w:val="36"/>
        </w:rPr>
      </w:pPr>
    </w:p>
    <w:p w:rsidR="003B5E50" w:rsidRPr="0081210B" w:rsidRDefault="003B5E50" w:rsidP="003B5E50">
      <w:pPr>
        <w:ind w:left="360"/>
        <w:jc w:val="center"/>
        <w:rPr>
          <w:b/>
          <w:sz w:val="36"/>
          <w:szCs w:val="36"/>
        </w:rPr>
      </w:pPr>
    </w:p>
    <w:p w:rsidR="003B5E50" w:rsidRPr="0081210B" w:rsidRDefault="008E2D1A" w:rsidP="003B5E50">
      <w:pPr>
        <w:jc w:val="center"/>
        <w:rPr>
          <w:sz w:val="52"/>
          <w:szCs w:val="52"/>
        </w:rPr>
      </w:pPr>
      <w:r>
        <w:rPr>
          <w:sz w:val="52"/>
          <w:szCs w:val="52"/>
        </w:rPr>
        <w:pict>
          <v:shape id="_x0000_i1026" type="#_x0000_t75" style="width:57.75pt;height:71.25pt">
            <v:imagedata r:id="rId7" o:title=""/>
          </v:shape>
        </w:pict>
      </w:r>
    </w:p>
    <w:p w:rsidR="003B5E50" w:rsidRPr="0081210B" w:rsidRDefault="003B5E50" w:rsidP="003B5E50">
      <w:pPr>
        <w:jc w:val="center"/>
        <w:rPr>
          <w:sz w:val="40"/>
          <w:szCs w:val="40"/>
        </w:rPr>
      </w:pPr>
      <w:r w:rsidRPr="0081210B">
        <w:rPr>
          <w:sz w:val="40"/>
          <w:szCs w:val="40"/>
        </w:rPr>
        <w:t>Gimnazija Kočevje</w:t>
      </w:r>
    </w:p>
    <w:p w:rsidR="003B5E50" w:rsidRPr="0081210B" w:rsidRDefault="003B5E50" w:rsidP="003B5E50">
      <w:pPr>
        <w:jc w:val="center"/>
        <w:rPr>
          <w:sz w:val="40"/>
          <w:szCs w:val="40"/>
        </w:rPr>
      </w:pPr>
      <w:r w:rsidRPr="0081210B">
        <w:rPr>
          <w:sz w:val="40"/>
          <w:szCs w:val="40"/>
        </w:rPr>
        <w:t>Ljubljanska cesta 12</w:t>
      </w:r>
    </w:p>
    <w:p w:rsidR="003B5E50" w:rsidRPr="0081210B" w:rsidRDefault="003B5E50" w:rsidP="003B5E50">
      <w:pPr>
        <w:jc w:val="center"/>
        <w:rPr>
          <w:sz w:val="40"/>
          <w:szCs w:val="40"/>
        </w:rPr>
      </w:pPr>
      <w:r w:rsidRPr="0081210B">
        <w:rPr>
          <w:sz w:val="40"/>
          <w:szCs w:val="40"/>
        </w:rPr>
        <w:t>1330 Kočevje</w:t>
      </w:r>
    </w:p>
    <w:p w:rsidR="003B5E50" w:rsidRPr="0081210B" w:rsidRDefault="003B5E50" w:rsidP="003B5E50">
      <w:pPr>
        <w:jc w:val="center"/>
        <w:rPr>
          <w:sz w:val="40"/>
          <w:szCs w:val="40"/>
        </w:rPr>
      </w:pPr>
    </w:p>
    <w:p w:rsidR="003B5E50" w:rsidRDefault="002C3CE0" w:rsidP="003B5E50">
      <w:pPr>
        <w:jc w:val="center"/>
        <w:rPr>
          <w:b/>
          <w:sz w:val="40"/>
          <w:szCs w:val="40"/>
        </w:rPr>
      </w:pPr>
      <w:r>
        <w:rPr>
          <w:b/>
          <w:sz w:val="40"/>
          <w:szCs w:val="40"/>
        </w:rPr>
        <w:t xml:space="preserve"> </w:t>
      </w:r>
    </w:p>
    <w:p w:rsidR="002C3CE0" w:rsidRDefault="002C3CE0" w:rsidP="003B5E50">
      <w:pPr>
        <w:jc w:val="center"/>
        <w:rPr>
          <w:sz w:val="40"/>
          <w:szCs w:val="40"/>
        </w:rPr>
      </w:pPr>
    </w:p>
    <w:p w:rsidR="003B5E50" w:rsidRPr="008575C6" w:rsidRDefault="003B5E50" w:rsidP="003B5E50">
      <w:pPr>
        <w:jc w:val="center"/>
        <w:rPr>
          <w:sz w:val="16"/>
          <w:szCs w:val="16"/>
        </w:rPr>
      </w:pPr>
    </w:p>
    <w:p w:rsidR="003B5E50" w:rsidRPr="0081210B" w:rsidRDefault="003B5E50" w:rsidP="003B5E50">
      <w:pPr>
        <w:rPr>
          <w:sz w:val="2"/>
          <w:szCs w:val="2"/>
        </w:rPr>
      </w:pPr>
    </w:p>
    <w:p w:rsidR="003B5E50" w:rsidRPr="00F65092" w:rsidRDefault="003B5E50" w:rsidP="003B5E50">
      <w:pPr>
        <w:rPr>
          <w:b/>
          <w:color w:val="008000"/>
          <w:sz w:val="28"/>
          <w:szCs w:val="28"/>
        </w:rPr>
      </w:pPr>
      <w:r w:rsidRPr="00F65092">
        <w:rPr>
          <w:b/>
          <w:color w:val="008000"/>
          <w:sz w:val="28"/>
          <w:szCs w:val="28"/>
        </w:rPr>
        <w:lastRenderedPageBreak/>
        <w:t>1. UVOD</w:t>
      </w:r>
    </w:p>
    <w:p w:rsidR="003B5E50" w:rsidRPr="00F332DA" w:rsidRDefault="003B5E50" w:rsidP="003B5E50">
      <w:pPr>
        <w:jc w:val="both"/>
        <w:rPr>
          <w:color w:val="008000"/>
          <w:sz w:val="20"/>
          <w:szCs w:val="20"/>
        </w:rPr>
      </w:pPr>
    </w:p>
    <w:p w:rsidR="003B5E50" w:rsidRPr="00BA1A60" w:rsidRDefault="003B5E50" w:rsidP="003B5E50">
      <w:pPr>
        <w:numPr>
          <w:ilvl w:val="1"/>
          <w:numId w:val="1"/>
        </w:numPr>
        <w:jc w:val="both"/>
        <w:rPr>
          <w:b/>
          <w:color w:val="FF0000"/>
        </w:rPr>
      </w:pPr>
      <w:r w:rsidRPr="00BA1A60">
        <w:rPr>
          <w:b/>
          <w:color w:val="FF0000"/>
        </w:rPr>
        <w:t>Teoretične osnove</w:t>
      </w:r>
    </w:p>
    <w:p w:rsidR="003B5E50" w:rsidRPr="00895773" w:rsidRDefault="003B5E50" w:rsidP="003B5E50">
      <w:pPr>
        <w:jc w:val="both"/>
        <w:rPr>
          <w:sz w:val="10"/>
          <w:szCs w:val="10"/>
        </w:rPr>
      </w:pPr>
    </w:p>
    <w:p w:rsidR="00A05D9A" w:rsidRDefault="003B5E50" w:rsidP="002675F2">
      <w:pPr>
        <w:pStyle w:val="body"/>
        <w:spacing w:before="0" w:beforeAutospacing="0" w:after="0" w:afterAutospacing="0"/>
        <w:jc w:val="both"/>
      </w:pPr>
      <w:r>
        <w:t>Po</w:t>
      </w:r>
      <w:r w:rsidR="00A05D9A">
        <w:t xml:space="preserve">pise prebivalstva pri nas izvaja Statistični urad Republike Slovenije. </w:t>
      </w:r>
      <w:r w:rsidR="00A05D9A" w:rsidRPr="00A05D9A">
        <w:t xml:space="preserve">Namen </w:t>
      </w:r>
      <w:r w:rsidR="00B13838">
        <w:t>popisov prebivalstva</w:t>
      </w:r>
      <w:r w:rsidR="00A05D9A" w:rsidRPr="00A05D9A">
        <w:t xml:space="preserve"> je </w:t>
      </w:r>
      <w:r w:rsidR="00A05D9A" w:rsidRPr="00B13838">
        <w:rPr>
          <w:i/>
        </w:rPr>
        <w:t xml:space="preserve">zbrati popolne podatke o prebivalstvu, družinah, gospodinjstvih in stanovanjih, za načrtovanje prihodnjih potreb, odločitev in trendov na različnih </w:t>
      </w:r>
      <w:r w:rsidR="00B13838" w:rsidRPr="00B13838">
        <w:rPr>
          <w:i/>
        </w:rPr>
        <w:t>teritorialnih</w:t>
      </w:r>
      <w:r w:rsidR="00A05D9A" w:rsidRPr="00B13838">
        <w:rPr>
          <w:i/>
        </w:rPr>
        <w:t xml:space="preserve"> ravneh RS in v različnih družbenih skupnostih</w:t>
      </w:r>
      <w:r w:rsidR="00B13838">
        <w:t xml:space="preserve"> (</w:t>
      </w:r>
      <w:r w:rsidR="00B13838" w:rsidRPr="00B13838">
        <w:rPr>
          <w:sz w:val="20"/>
          <w:szCs w:val="20"/>
        </w:rPr>
        <w:t xml:space="preserve">vir: </w:t>
      </w:r>
      <w:hyperlink r:id="rId8" w:history="1">
        <w:r w:rsidR="00B13838" w:rsidRPr="00B13838">
          <w:rPr>
            <w:rStyle w:val="Hyperlink"/>
            <w:sz w:val="20"/>
            <w:szCs w:val="20"/>
          </w:rPr>
          <w:t>http://www.stat.si/popis2002/si/kaj_je_popis.html</w:t>
        </w:r>
      </w:hyperlink>
      <w:r w:rsidR="00B13838">
        <w:t>).</w:t>
      </w:r>
    </w:p>
    <w:p w:rsidR="00B13838" w:rsidRDefault="00B13838" w:rsidP="002675F2">
      <w:pPr>
        <w:pStyle w:val="body"/>
        <w:spacing w:before="0" w:beforeAutospacing="0" w:after="0" w:afterAutospacing="0"/>
        <w:jc w:val="both"/>
      </w:pPr>
      <w:r>
        <w:t xml:space="preserve">Zadnji popis prebivalstva je bil v Sloveniji izveden leta 2002. </w:t>
      </w:r>
      <w:r w:rsidR="00BF4BC5">
        <w:t xml:space="preserve">Poleg tega </w:t>
      </w:r>
      <w:r w:rsidR="007C3929">
        <w:t xml:space="preserve">statistični urad vodi tudi drugo </w:t>
      </w:r>
      <w:r w:rsidR="00D258C7">
        <w:t xml:space="preserve">državno </w:t>
      </w:r>
      <w:r w:rsidR="007C3929">
        <w:t xml:space="preserve">statistiko. </w:t>
      </w:r>
    </w:p>
    <w:p w:rsidR="002675F2" w:rsidRDefault="002675F2" w:rsidP="002675F2">
      <w:pPr>
        <w:pStyle w:val="body"/>
        <w:spacing w:before="0" w:beforeAutospacing="0" w:after="0" w:afterAutospacing="0"/>
        <w:jc w:val="both"/>
      </w:pPr>
      <w:r>
        <w:t>Dijaki, ki smo si za mat</w:t>
      </w:r>
      <w:r w:rsidR="00A17AC4">
        <w:t xml:space="preserve">uro izbrali geografijo, smo   </w:t>
      </w:r>
      <w:r>
        <w:t xml:space="preserve">. januarja 2012 med </w:t>
      </w:r>
      <w:smartTag w:uri="urn:schemas-microsoft-com:office:smarttags" w:element="metricconverter">
        <w:smartTagPr>
          <w:attr w:name="ProductID" w:val="7.00 in"/>
        </w:smartTagPr>
        <w:r>
          <w:t>7.00 in</w:t>
        </w:r>
      </w:smartTag>
      <w:r>
        <w:t xml:space="preserve"> 8.35 izvedli četrto vajo. Pri njej smo iz SI-STAT podatkovnega portala pridobili nekatere </w:t>
      </w:r>
      <w:r w:rsidR="004C3895">
        <w:t xml:space="preserve">statistične </w:t>
      </w:r>
      <w:r>
        <w:t xml:space="preserve">podatke o prebivalstvu za 2 občini (ena izmed njih je bila domača) in Slovenijo kot celoto. </w:t>
      </w:r>
      <w:r w:rsidR="006F6EBF">
        <w:t xml:space="preserve">Naša nadaljnja naloga je bila, da te podatke grafično prikažemo in jih analiziramo. </w:t>
      </w:r>
    </w:p>
    <w:p w:rsidR="00B13838" w:rsidRPr="00A05D9A" w:rsidRDefault="00B13838" w:rsidP="00A05D9A">
      <w:pPr>
        <w:pStyle w:val="body"/>
        <w:spacing w:before="0" w:beforeAutospacing="0" w:after="0" w:afterAutospacing="0"/>
      </w:pPr>
    </w:p>
    <w:p w:rsidR="003B5E50" w:rsidRPr="00895773" w:rsidRDefault="003B5E50" w:rsidP="003B5E50">
      <w:pPr>
        <w:jc w:val="both"/>
      </w:pPr>
    </w:p>
    <w:p w:rsidR="003B5E50" w:rsidRPr="00B95520" w:rsidRDefault="003B5E50" w:rsidP="003B5E50">
      <w:pPr>
        <w:numPr>
          <w:ilvl w:val="1"/>
          <w:numId w:val="1"/>
        </w:numPr>
        <w:rPr>
          <w:b/>
          <w:color w:val="FF0000"/>
        </w:rPr>
      </w:pPr>
      <w:r w:rsidRPr="00B95520">
        <w:rPr>
          <w:b/>
          <w:color w:val="FF0000"/>
        </w:rPr>
        <w:t>Nameni in cilji vaje</w:t>
      </w:r>
    </w:p>
    <w:p w:rsidR="003B5E50" w:rsidRPr="00B73BD9" w:rsidRDefault="003B5E50" w:rsidP="003B5E50">
      <w:pPr>
        <w:numPr>
          <w:ilvl w:val="0"/>
          <w:numId w:val="2"/>
        </w:numPr>
        <w:jc w:val="both"/>
      </w:pPr>
      <w:r w:rsidRPr="00B73BD9">
        <w:t>spoznati metodo zbiranja podatkov</w:t>
      </w:r>
    </w:p>
    <w:p w:rsidR="003B5E50" w:rsidRPr="00B73BD9" w:rsidRDefault="006F6EBF" w:rsidP="006F6EBF">
      <w:pPr>
        <w:numPr>
          <w:ilvl w:val="0"/>
          <w:numId w:val="3"/>
        </w:numPr>
        <w:jc w:val="both"/>
      </w:pPr>
      <w:r>
        <w:t xml:space="preserve">izpisati podatke iz podatkovnega portala in izračunati deleže pri posamezni kategoriji </w:t>
      </w:r>
    </w:p>
    <w:p w:rsidR="003B5E50" w:rsidRPr="00B73BD9" w:rsidRDefault="003B5E50" w:rsidP="003B5E50">
      <w:pPr>
        <w:numPr>
          <w:ilvl w:val="0"/>
          <w:numId w:val="4"/>
        </w:numPr>
        <w:jc w:val="both"/>
      </w:pPr>
      <w:r w:rsidRPr="00B73BD9">
        <w:t>analizirati dobljene podatke, ter jih grafično prikazati</w:t>
      </w:r>
    </w:p>
    <w:p w:rsidR="003B5E50" w:rsidRDefault="003B5E50" w:rsidP="003B5E50">
      <w:pPr>
        <w:numPr>
          <w:ilvl w:val="0"/>
          <w:numId w:val="5"/>
        </w:numPr>
        <w:jc w:val="both"/>
      </w:pPr>
      <w:r w:rsidRPr="00B73BD9">
        <w:t>našteti in interpretirati vzroke za ugotovljeno stanje</w:t>
      </w:r>
    </w:p>
    <w:p w:rsidR="00F902CA" w:rsidRDefault="00F902CA" w:rsidP="00F902CA">
      <w:pPr>
        <w:jc w:val="both"/>
      </w:pPr>
    </w:p>
    <w:p w:rsidR="00F902CA" w:rsidRPr="00B73BD9" w:rsidRDefault="00F902CA" w:rsidP="00F902CA">
      <w:pPr>
        <w:jc w:val="both"/>
      </w:pPr>
    </w:p>
    <w:p w:rsidR="003B5E50" w:rsidRPr="00DA289F" w:rsidRDefault="003B5E50" w:rsidP="003B5E50">
      <w:pPr>
        <w:rPr>
          <w:color w:val="000048"/>
        </w:rPr>
      </w:pPr>
    </w:p>
    <w:p w:rsidR="003B5E50" w:rsidRPr="000C7758" w:rsidRDefault="003B5E50" w:rsidP="003B5E50">
      <w:pPr>
        <w:rPr>
          <w:b/>
          <w:color w:val="008000"/>
          <w:sz w:val="28"/>
          <w:szCs w:val="28"/>
        </w:rPr>
      </w:pPr>
      <w:r w:rsidRPr="000C7758">
        <w:rPr>
          <w:b/>
          <w:color w:val="008000"/>
          <w:sz w:val="28"/>
          <w:szCs w:val="28"/>
        </w:rPr>
        <w:t>2. POTEK VAJE</w:t>
      </w:r>
    </w:p>
    <w:p w:rsidR="003B5E50" w:rsidRDefault="004C3895" w:rsidP="003B5E50">
      <w:pPr>
        <w:jc w:val="both"/>
      </w:pPr>
      <w:r>
        <w:t>Naša prva naloga je bila, da iz SI-STAT podatkovnega portala (</w:t>
      </w:r>
      <w:hyperlink r:id="rId9" w:history="1">
        <w:r>
          <w:rPr>
            <w:rStyle w:val="Hyperlink"/>
          </w:rPr>
          <w:t>http://pxweb.stat.si/pxweb/Dialog/statfile2.asp</w:t>
        </w:r>
      </w:hyperlink>
      <w:r>
        <w:t xml:space="preserve">) pridobimo nekatere statistične podatke o prebivalstvu za domačo občino, eno občino po profesorjevem izboru in za Slovenijo kot celoto. </w:t>
      </w:r>
      <w:r w:rsidR="007352B5">
        <w:t xml:space="preserve">Jaz sem zbral in analiziral podatke za občini Ribnica in Litija. </w:t>
      </w:r>
      <w:r>
        <w:t>Že doma smo si lahko izdelali tabele, kamor smo potem vpisovali svoje podatke. Tako smo iz podatkovnega portala pridobili podatke o gibanju selitvenega prirasta prebivalstva s tujino in</w:t>
      </w:r>
      <w:r w:rsidR="000C7758">
        <w:t xml:space="preserve"> med občinami ter</w:t>
      </w:r>
      <w:r>
        <w:t xml:space="preserve"> o gibanju n</w:t>
      </w:r>
      <w:r w:rsidR="000C7758">
        <w:t xml:space="preserve">aravnega ter skupnega prirasta  v letih 1997-2010. Zbrali smo tudi nekatere podatke, ki so bili pridobljeni ob popisu prebivalstva </w:t>
      </w:r>
      <w:smartTag w:uri="urn:schemas-microsoft-com:office:smarttags" w:element="metricconverter">
        <w:smartTagPr>
          <w:attr w:name="ProductID" w:val="2002 in"/>
        </w:smartTagPr>
        <w:r w:rsidR="000C7758">
          <w:t>2002 in</w:t>
        </w:r>
      </w:smartTag>
      <w:r w:rsidR="000C7758">
        <w:t xml:space="preserve"> sicer naslednje:</w:t>
      </w:r>
    </w:p>
    <w:p w:rsidR="000C7758" w:rsidRDefault="000C7758" w:rsidP="00933892">
      <w:pPr>
        <w:numPr>
          <w:ilvl w:val="0"/>
          <w:numId w:val="7"/>
        </w:numPr>
        <w:jc w:val="both"/>
      </w:pPr>
      <w:r>
        <w:t xml:space="preserve">podatki o številu prebivalstva </w:t>
      </w:r>
      <w:r w:rsidR="00933892">
        <w:t>po starostnih skupinah in spolu</w:t>
      </w:r>
    </w:p>
    <w:p w:rsidR="00933892" w:rsidRDefault="00933892" w:rsidP="00933892">
      <w:pPr>
        <w:numPr>
          <w:ilvl w:val="0"/>
          <w:numId w:val="7"/>
        </w:numPr>
        <w:jc w:val="both"/>
      </w:pPr>
      <w:r>
        <w:t>povprečna starost prebivalstva</w:t>
      </w:r>
    </w:p>
    <w:p w:rsidR="00933892" w:rsidRDefault="00933892" w:rsidP="00933892">
      <w:pPr>
        <w:numPr>
          <w:ilvl w:val="0"/>
          <w:numId w:val="7"/>
        </w:numPr>
        <w:jc w:val="both"/>
      </w:pPr>
      <w:r>
        <w:t>indeks staranja prebivalstva</w:t>
      </w:r>
    </w:p>
    <w:p w:rsidR="00933892" w:rsidRDefault="00933892" w:rsidP="00933892">
      <w:pPr>
        <w:numPr>
          <w:ilvl w:val="0"/>
          <w:numId w:val="7"/>
        </w:numPr>
        <w:jc w:val="both"/>
      </w:pPr>
      <w:r>
        <w:t>podatki o številu delovno aktivnega prebivalstva po skupinah dejavnosti</w:t>
      </w:r>
    </w:p>
    <w:p w:rsidR="00933892" w:rsidRDefault="00933892" w:rsidP="00933892">
      <w:pPr>
        <w:numPr>
          <w:ilvl w:val="0"/>
          <w:numId w:val="7"/>
        </w:numPr>
        <w:jc w:val="both"/>
      </w:pPr>
      <w:r>
        <w:t>podatki o številu prebivalstva glede maternega jezika</w:t>
      </w:r>
    </w:p>
    <w:p w:rsidR="00933892" w:rsidRDefault="00933892" w:rsidP="00933892">
      <w:pPr>
        <w:numPr>
          <w:ilvl w:val="0"/>
          <w:numId w:val="7"/>
        </w:numPr>
        <w:jc w:val="both"/>
      </w:pPr>
      <w:r>
        <w:t>podatki o številu prebivalstva glede izobrazbe</w:t>
      </w:r>
    </w:p>
    <w:p w:rsidR="004C4DFF" w:rsidRDefault="004C4DFF" w:rsidP="004C4DFF">
      <w:pPr>
        <w:jc w:val="both"/>
      </w:pPr>
    </w:p>
    <w:p w:rsidR="004C4DFF" w:rsidRDefault="004C4DFF" w:rsidP="004C4DFF">
      <w:pPr>
        <w:jc w:val="both"/>
      </w:pPr>
      <w:r>
        <w:t xml:space="preserve">Naša nadaljnja naloga je bila, da izbrane podatke grafično predstavimo in jih analiziramo, in sicer tako, da </w:t>
      </w:r>
      <w:r w:rsidR="00535DBE">
        <w:t>poskušamo najti</w:t>
      </w:r>
      <w:r>
        <w:t xml:space="preserve"> vzroke za ugotovljeno stanje. </w:t>
      </w:r>
      <w:r w:rsidR="00535DBE">
        <w:t xml:space="preserve">Paziti smo morali, da je bil vsaki tabeli in grafu dodan naslov in po potrebi tudi legenda. </w:t>
      </w:r>
    </w:p>
    <w:p w:rsidR="004C4DFF" w:rsidRPr="00B73BD9" w:rsidRDefault="004C4DFF" w:rsidP="004C4DFF">
      <w:pPr>
        <w:jc w:val="both"/>
      </w:pPr>
      <w:r>
        <w:t xml:space="preserve">Pri izvedbi vaje nismo imeli </w:t>
      </w:r>
      <w:r w:rsidR="00F902CA">
        <w:t xml:space="preserve">večjih težav, če smo si delo dobro organizirali (poslušanje navodil profesorice, izdelava tabel, v katere smo vpisovali podatke,…). </w:t>
      </w:r>
    </w:p>
    <w:p w:rsidR="003B5E50" w:rsidRPr="000164AF" w:rsidRDefault="003B5E50" w:rsidP="003B5E50"/>
    <w:p w:rsidR="003B5E50" w:rsidRDefault="003B5E50" w:rsidP="003B5E50">
      <w:pPr>
        <w:rPr>
          <w:color w:val="000048"/>
        </w:rPr>
      </w:pPr>
    </w:p>
    <w:p w:rsidR="00F902CA" w:rsidRDefault="00F902CA" w:rsidP="003B5E50">
      <w:pPr>
        <w:rPr>
          <w:color w:val="000048"/>
        </w:rPr>
      </w:pPr>
    </w:p>
    <w:p w:rsidR="00F902CA" w:rsidRDefault="00F902CA" w:rsidP="003B5E50">
      <w:pPr>
        <w:rPr>
          <w:color w:val="000048"/>
        </w:rPr>
      </w:pPr>
    </w:p>
    <w:p w:rsidR="00F902CA" w:rsidRDefault="00F902CA" w:rsidP="003B5E50">
      <w:pPr>
        <w:rPr>
          <w:color w:val="000048"/>
        </w:rPr>
      </w:pPr>
    </w:p>
    <w:p w:rsidR="00F902CA" w:rsidRDefault="00F902CA" w:rsidP="003B5E50">
      <w:pPr>
        <w:rPr>
          <w:color w:val="000048"/>
        </w:rPr>
      </w:pPr>
    </w:p>
    <w:p w:rsidR="003B5E50" w:rsidRDefault="00F902CA" w:rsidP="003B5E50">
      <w:pPr>
        <w:rPr>
          <w:b/>
          <w:color w:val="008000"/>
          <w:sz w:val="28"/>
          <w:szCs w:val="28"/>
        </w:rPr>
      </w:pPr>
      <w:r w:rsidRPr="00F902CA">
        <w:rPr>
          <w:b/>
          <w:color w:val="008000"/>
          <w:sz w:val="28"/>
          <w:szCs w:val="28"/>
        </w:rPr>
        <w:lastRenderedPageBreak/>
        <w:t>3.</w:t>
      </w:r>
      <w:r w:rsidR="003B5E50" w:rsidRPr="00F902CA">
        <w:rPr>
          <w:b/>
          <w:color w:val="008000"/>
          <w:sz w:val="28"/>
          <w:szCs w:val="28"/>
        </w:rPr>
        <w:t xml:space="preserve"> RAZPRAVA </w:t>
      </w:r>
      <w:r w:rsidR="003604D9">
        <w:rPr>
          <w:b/>
          <w:color w:val="008000"/>
          <w:sz w:val="28"/>
          <w:szCs w:val="28"/>
        </w:rPr>
        <w:t>NA PODLAGI UGOTOVITEV</w:t>
      </w:r>
    </w:p>
    <w:p w:rsidR="00DE66B2" w:rsidRDefault="00DE66B2" w:rsidP="003B5E50">
      <w:pPr>
        <w:rPr>
          <w:b/>
          <w:color w:val="008000"/>
          <w:sz w:val="28"/>
          <w:szCs w:val="28"/>
        </w:rPr>
      </w:pPr>
    </w:p>
    <w:p w:rsidR="003604D9" w:rsidRDefault="003604D9" w:rsidP="003604D9">
      <w:pPr>
        <w:numPr>
          <w:ilvl w:val="1"/>
          <w:numId w:val="8"/>
        </w:numPr>
        <w:rPr>
          <w:b/>
          <w:color w:val="FF0000"/>
        </w:rPr>
      </w:pPr>
      <w:r>
        <w:rPr>
          <w:b/>
          <w:color w:val="FF0000"/>
        </w:rPr>
        <w:t>Kratka predstavitev občin Ribnica in Litija</w:t>
      </w:r>
    </w:p>
    <w:p w:rsidR="00DE66B2" w:rsidRDefault="00DE66B2" w:rsidP="00DE66B2">
      <w:pPr>
        <w:rPr>
          <w:b/>
          <w:color w:val="FF0000"/>
        </w:rPr>
      </w:pPr>
    </w:p>
    <w:p w:rsidR="00DE66B2" w:rsidRPr="00DE66B2" w:rsidRDefault="00DE66B2" w:rsidP="00DE66B2">
      <w:pPr>
        <w:jc w:val="both"/>
      </w:pPr>
      <w:r>
        <w:t xml:space="preserve">Da bomo bolje znali interpretirati dobljene rezultate, moramo poznati nekaj osnovnih podatkov o občini Ribnica in Litija. </w:t>
      </w:r>
    </w:p>
    <w:p w:rsidR="003604D9" w:rsidRPr="00084706" w:rsidRDefault="003604D9" w:rsidP="003604D9">
      <w:r>
        <w:fldChar w:fldCharType="begin"/>
      </w:r>
      <w:r>
        <w:instrText xml:space="preserve"> INCLUDEPICTURE "http://upload.wikimedia.org/wikipedia/commons/thumb/3/38/Obcine_Slovenija_2006_Ribnica.svg/800px-Obcine_Slovenija_2006_Ribnica.svg.png" \* MERGEFORMATINET </w:instrText>
      </w:r>
      <w:r>
        <w:fldChar w:fldCharType="separate"/>
      </w:r>
      <w:r w:rsidR="00BB40D3">
        <w:fldChar w:fldCharType="begin"/>
      </w:r>
      <w:r w:rsidR="00BB40D3">
        <w:instrText xml:space="preserve"> INCLUDEPICTURE  "http://upload.wikimedia.org/wikipedia/commons/thumb/3/38/Obcine_Slovenija_2006_Ribnica.svg/800px-Obcine_Slovenija_2006_Ribnica.svg.png" \* MERGEFORMATINET </w:instrText>
      </w:r>
      <w:r w:rsidR="00BB40D3">
        <w:fldChar w:fldCharType="separate"/>
      </w:r>
      <w:r w:rsidR="008E2D1A">
        <w:fldChar w:fldCharType="begin"/>
      </w:r>
      <w:r w:rsidR="008E2D1A">
        <w:instrText xml:space="preserve"> </w:instrText>
      </w:r>
      <w:r w:rsidR="008E2D1A">
        <w:instrText>INCLUDEPICTURE  "http://upload.wikimedia.or</w:instrText>
      </w:r>
      <w:r w:rsidR="008E2D1A">
        <w:instrText>g/wikipedia/commons/thumb/3/38/Obcine_Slovenija_2006_Ribnica.svg/800px-Obcine_Slovenija_2006_Ribnica.svg.png" \* MERGEFORMATINET</w:instrText>
      </w:r>
      <w:r w:rsidR="008E2D1A">
        <w:instrText xml:space="preserve"> </w:instrText>
      </w:r>
      <w:r w:rsidR="008E2D1A">
        <w:fldChar w:fldCharType="separate"/>
      </w:r>
      <w:r w:rsidR="008E2D1A">
        <w:pict>
          <v:shape id="_x0000_i1027" type="#_x0000_t75" alt="Slika:Obcine Slovenija 2006 Ribnica.svg" style="width:216.75pt;height:140.25pt">
            <v:imagedata r:id="rId10" r:href="rId11"/>
          </v:shape>
        </w:pict>
      </w:r>
      <w:r w:rsidR="008E2D1A">
        <w:fldChar w:fldCharType="end"/>
      </w:r>
      <w:r w:rsidR="00BB40D3">
        <w:fldChar w:fldCharType="end"/>
      </w:r>
      <w:r>
        <w:fldChar w:fldCharType="end"/>
      </w:r>
      <w:r w:rsidRPr="003604D9">
        <w:t xml:space="preserve"> </w:t>
      </w:r>
      <w:r w:rsidRPr="00DE66B2">
        <w:rPr>
          <w:b/>
          <w:sz w:val="20"/>
          <w:szCs w:val="20"/>
        </w:rPr>
        <w:t xml:space="preserve">Slika 1: </w:t>
      </w:r>
      <w:r w:rsidR="00084706">
        <w:rPr>
          <w:sz w:val="20"/>
          <w:szCs w:val="20"/>
        </w:rPr>
        <w:t>Lega in obseg občine Ribnica</w:t>
      </w:r>
    </w:p>
    <w:p w:rsidR="00084706" w:rsidRDefault="00084706" w:rsidP="003604D9"/>
    <w:p w:rsidR="00084706" w:rsidRDefault="00084706" w:rsidP="003604D9"/>
    <w:p w:rsidR="003604D9" w:rsidRDefault="00CE527F" w:rsidP="00CE527F">
      <w:pPr>
        <w:jc w:val="both"/>
      </w:pPr>
      <w:r>
        <w:rPr>
          <w:b/>
        </w:rPr>
        <w:t xml:space="preserve">Občina Ribnica </w:t>
      </w:r>
      <w:r>
        <w:t>leži na jugu Slovenije. Njena površina meri 154 km</w:t>
      </w:r>
      <w:r w:rsidRPr="00CE527F">
        <w:rPr>
          <w:vertAlign w:val="superscript"/>
        </w:rPr>
        <w:t>2</w:t>
      </w:r>
      <w:r>
        <w:t>, ob popisu leta 2002 pa je imela 9266 prebivalcev. To pomeni, da je na njenem ozemlju živelo povprečno 60,2 preb./</w:t>
      </w:r>
      <w:r w:rsidRPr="00CE527F">
        <w:t xml:space="preserve"> </w:t>
      </w:r>
      <w:r>
        <w:t>km</w:t>
      </w:r>
      <w:r w:rsidRPr="00CE527F">
        <w:rPr>
          <w:vertAlign w:val="superscript"/>
        </w:rPr>
        <w:t>2</w:t>
      </w:r>
      <w:r>
        <w:t xml:space="preserve">, kar je manj od državnega povprečja. </w:t>
      </w:r>
      <w:r w:rsidR="00B046B6">
        <w:t>V občin</w:t>
      </w:r>
      <w:r w:rsidR="00CC1FF7">
        <w:t>i</w:t>
      </w:r>
      <w:r w:rsidR="00B046B6">
        <w:t xml:space="preserve"> prevladuje </w:t>
      </w:r>
      <w:r w:rsidR="00D2718B">
        <w:t>ravninski relief sredi ribniško-kočevskega gorovja.</w:t>
      </w:r>
      <w:r w:rsidR="00CC1FF7">
        <w:t xml:space="preserve"> </w:t>
      </w:r>
      <w:r w:rsidR="00FA23AA">
        <w:t xml:space="preserve">Prometni položaj občine je ugoden, saj občina Ribnica leži ob glavni prometni povezavi, ki vodi proti Ljubljani, glavnemu mestu Slovenije. Z glavnim mestom pa jo veže tudi močna vsakodnevna ekonomska migracija. </w:t>
      </w:r>
      <w:r w:rsidR="00DE66B2">
        <w:t xml:space="preserve"> </w:t>
      </w:r>
    </w:p>
    <w:p w:rsidR="00DE66B2" w:rsidRDefault="00DE66B2" w:rsidP="00CE527F">
      <w:pPr>
        <w:jc w:val="both"/>
      </w:pPr>
    </w:p>
    <w:p w:rsidR="00FA23AA" w:rsidRDefault="00FA23AA" w:rsidP="00CE527F">
      <w:pPr>
        <w:jc w:val="both"/>
      </w:pPr>
      <w:r>
        <w:t>Spada v statistično regijo Jugovzhodna Slovenija. Le dve občini v območju te regije nista opredeljeni kot področji s posebnimi r</w:t>
      </w:r>
      <w:r w:rsidR="00F22496">
        <w:t>azvojnimi problemi, to sta: Novo</w:t>
      </w:r>
      <w:r>
        <w:t xml:space="preserve"> mesto in tudi Ribnica. </w:t>
      </w:r>
    </w:p>
    <w:p w:rsidR="00DE66B2" w:rsidRDefault="00DE66B2" w:rsidP="00CE527F">
      <w:pPr>
        <w:jc w:val="both"/>
      </w:pPr>
    </w:p>
    <w:p w:rsidR="00DE66B2" w:rsidRDefault="00F22496" w:rsidP="00CE527F">
      <w:pPr>
        <w:jc w:val="both"/>
      </w:pPr>
      <w:r>
        <w:t xml:space="preserve">Za obdobje po 2. svetovni vojni </w:t>
      </w:r>
      <w:r w:rsidR="00535DBE">
        <w:t xml:space="preserve">je bila za Ribnico glavna panoga </w:t>
      </w:r>
      <w:r>
        <w:t>industrija. Ribniško gospodarstvo je v obdobju pred osamosvojitvijo beležilo izjemne rezultate. Vodilni industrijski panogi sta bili lesna in kovinsko-predelovalna industrija. Zaradi izrazite usmerjenosti ribniškega gospodarstva na jugoslovanski in vzhodnoevropski trg so dogodki v devetdesetih letih zelo negativno vplivali tudi na ribniško gospodarstvo. Zaradi stečaja številnih podjetij (</w:t>
      </w:r>
      <w:r w:rsidR="00147779">
        <w:t xml:space="preserve">Riko, </w:t>
      </w:r>
      <w:r>
        <w:t xml:space="preserve">Evrotrans, Tekstilna tovarna Jurjevica, obrati Pletenine, …) se je v letih po osamosvojitvi brezposelnost skokovito povečala in je dosegla skoraj 30 %, kar je bilo še enkrat več </w:t>
      </w:r>
      <w:r w:rsidR="00EE3052">
        <w:t xml:space="preserve">od takratnega državnega povprečja. </w:t>
      </w:r>
    </w:p>
    <w:p w:rsidR="00DE66B2" w:rsidRDefault="00DE66B2" w:rsidP="00CE527F">
      <w:pPr>
        <w:jc w:val="both"/>
      </w:pPr>
    </w:p>
    <w:p w:rsidR="00F22496" w:rsidRDefault="00EE3052" w:rsidP="00CE527F">
      <w:pPr>
        <w:jc w:val="both"/>
      </w:pPr>
      <w:r>
        <w:t xml:space="preserve">Gospodarstvo se je po letu 1996 začelo ponovno oživljati. </w:t>
      </w:r>
      <w:r w:rsidR="00B648F1">
        <w:t>Zaključil se je stečaj podjetja Riko in nastalo je več gospodarskih združb, ki so deloma nadaljevale obstoječe posle, nekatere pa so zač</w:t>
      </w:r>
      <w:r w:rsidR="00A05F40">
        <w:t>ele s popolnoma novimi programi</w:t>
      </w:r>
      <w:r w:rsidR="00147779">
        <w:t xml:space="preserve">. </w:t>
      </w:r>
      <w:r w:rsidR="00375520">
        <w:t xml:space="preserve">Začela se je krepiti tudi zasebna iniciativa, ki kaže rezultate v zasebnem podjetništvu. </w:t>
      </w:r>
      <w:r w:rsidR="00147779">
        <w:t>V občini</w:t>
      </w:r>
      <w:r w:rsidR="00375520">
        <w:t xml:space="preserve"> imajo sedež </w:t>
      </w:r>
      <w:r w:rsidR="00147779">
        <w:t xml:space="preserve">nekatera zelo uspešna podjetja (npr. Inles, Inotherm, …) </w:t>
      </w:r>
      <w:r>
        <w:t>Brezposelnost je</w:t>
      </w:r>
      <w:r w:rsidR="00147779">
        <w:t xml:space="preserve"> tako</w:t>
      </w:r>
      <w:r>
        <w:t xml:space="preserve"> </w:t>
      </w:r>
      <w:r w:rsidR="00147779">
        <w:t xml:space="preserve">po osamosvojitvenem šoku </w:t>
      </w:r>
      <w:r>
        <w:t xml:space="preserve">hitro upadla pod državno povprečje in je danes kljub novi gospodarski krizi med najnižjimi v Sloveniji. </w:t>
      </w:r>
    </w:p>
    <w:p w:rsidR="00B648F1" w:rsidRDefault="00B648F1" w:rsidP="00CE527F">
      <w:pPr>
        <w:jc w:val="both"/>
      </w:pPr>
    </w:p>
    <w:p w:rsidR="00375520" w:rsidRDefault="00375520" w:rsidP="00CE527F">
      <w:pPr>
        <w:jc w:val="both"/>
      </w:pPr>
    </w:p>
    <w:p w:rsidR="00084706" w:rsidRDefault="00084706" w:rsidP="00CE527F">
      <w:pPr>
        <w:jc w:val="both"/>
      </w:pPr>
    </w:p>
    <w:p w:rsidR="00084706" w:rsidRDefault="00084706" w:rsidP="00A502C1">
      <w:pPr>
        <w:jc w:val="both"/>
        <w:rPr>
          <w:b/>
        </w:rPr>
      </w:pPr>
    </w:p>
    <w:p w:rsidR="00084706" w:rsidRDefault="008E2D1A" w:rsidP="00A502C1">
      <w:pPr>
        <w:jc w:val="both"/>
      </w:pPr>
      <w:r>
        <w:lastRenderedPageBreak/>
        <w:pict>
          <v:shape id="_x0000_i1028" type="#_x0000_t75" style="width:204pt;height:139.5pt">
            <v:imagedata r:id="rId12" o:title=""/>
          </v:shape>
        </w:pict>
      </w:r>
      <w:r w:rsidR="00084706" w:rsidRPr="00084706">
        <w:rPr>
          <w:b/>
          <w:sz w:val="20"/>
          <w:szCs w:val="20"/>
        </w:rPr>
        <w:t>Slika 2:</w:t>
      </w:r>
      <w:r w:rsidR="00084706" w:rsidRPr="00084706">
        <w:rPr>
          <w:sz w:val="20"/>
          <w:szCs w:val="20"/>
        </w:rPr>
        <w:t xml:space="preserve"> Lega in obseg občine Litija</w:t>
      </w:r>
      <w:r w:rsidR="00535DBE">
        <w:rPr>
          <w:sz w:val="20"/>
          <w:szCs w:val="20"/>
        </w:rPr>
        <w:t xml:space="preserve"> ob popisu 2002</w:t>
      </w:r>
    </w:p>
    <w:p w:rsidR="00084706" w:rsidRDefault="00084706" w:rsidP="00A502C1">
      <w:pPr>
        <w:jc w:val="both"/>
      </w:pPr>
    </w:p>
    <w:p w:rsidR="00084706" w:rsidRDefault="00084706" w:rsidP="00A502C1">
      <w:pPr>
        <w:jc w:val="both"/>
      </w:pPr>
    </w:p>
    <w:p w:rsidR="00084706" w:rsidRDefault="00375520" w:rsidP="00A502C1">
      <w:pPr>
        <w:jc w:val="both"/>
      </w:pPr>
      <w:r>
        <w:rPr>
          <w:b/>
        </w:rPr>
        <w:t xml:space="preserve">Občina Litija </w:t>
      </w:r>
      <w:r>
        <w:t>leži v osrednjem delu Slovenije. Njena površina meri 316 km</w:t>
      </w:r>
      <w:r w:rsidRPr="00CE527F">
        <w:rPr>
          <w:vertAlign w:val="superscript"/>
        </w:rPr>
        <w:t>2</w:t>
      </w:r>
      <w:r w:rsidR="00B046B6">
        <w:t xml:space="preserve"> </w:t>
      </w:r>
      <w:r>
        <w:t>ob popisu leta 2002 pa je imela 19</w:t>
      </w:r>
      <w:r w:rsidR="003941F3">
        <w:t>.</w:t>
      </w:r>
      <w:r>
        <w:t>120 prebivalcev. To pomeni, da je na njenem ozemlju živelo povprečno 60,5 preb./</w:t>
      </w:r>
      <w:r w:rsidRPr="00CE527F">
        <w:t xml:space="preserve"> </w:t>
      </w:r>
      <w:r>
        <w:t>km</w:t>
      </w:r>
      <w:r w:rsidRPr="00CE527F">
        <w:rPr>
          <w:vertAlign w:val="superscript"/>
        </w:rPr>
        <w:t>2</w:t>
      </w:r>
      <w:r>
        <w:t>, kar je manj od državnega povprečja in približno toliko kot v občini Ribnica.</w:t>
      </w:r>
      <w:r w:rsidR="0047186A">
        <w:t xml:space="preserve"> Treba </w:t>
      </w:r>
      <w:r w:rsidR="00B046B6">
        <w:t xml:space="preserve">je omeniti, da </w:t>
      </w:r>
      <w:r w:rsidR="0047186A">
        <w:t xml:space="preserve">je junija leta 2002 iz južnega dela litijske občine nastala nova občina Šmartno pri Litiji. Ob popisu prebivalstva 2002 so upoštevali še stanje pred 15. junijem 2002, ko se je odcepitev zgodila, </w:t>
      </w:r>
      <w:r w:rsidR="00B046B6">
        <w:t xml:space="preserve">zato sem tudi jaz upošteval še takratno stanje. </w:t>
      </w:r>
      <w:r w:rsidR="00D2718B">
        <w:t xml:space="preserve">Občina leži v zahodnem delu Posavskega hribovja. Hriboviti deli občine so redko poseljeni, za njih je značilna depopulacija. Večja naselja so nastala v dolini reke Save, kjer potekajo večje prometnice in železnica. </w:t>
      </w:r>
      <w:r w:rsidR="00084706">
        <w:t>Občina spada v Osrednjeslovensko statistično regijo.</w:t>
      </w:r>
    </w:p>
    <w:p w:rsidR="00084706" w:rsidRDefault="00084706" w:rsidP="00A502C1">
      <w:pPr>
        <w:jc w:val="both"/>
      </w:pPr>
    </w:p>
    <w:p w:rsidR="00A502C1" w:rsidRDefault="00352CBA" w:rsidP="00A502C1">
      <w:pPr>
        <w:jc w:val="both"/>
      </w:pPr>
      <w:r>
        <w:t xml:space="preserve">Občina se je začelo industrijsko razvijati s prihodom Južne železnice v 19. stoletju. Po letu 1970 se je v občini pričela tudi intenzivnejša stanovanjska gradnja. </w:t>
      </w:r>
    </w:p>
    <w:p w:rsidR="00084706" w:rsidRDefault="00084706" w:rsidP="00A502C1">
      <w:pPr>
        <w:jc w:val="both"/>
      </w:pPr>
    </w:p>
    <w:p w:rsidR="00084706" w:rsidRDefault="00352CBA" w:rsidP="00084706">
      <w:pPr>
        <w:jc w:val="both"/>
      </w:pPr>
      <w:r w:rsidRPr="00352CBA">
        <w:t>Prvotna gospodarska struktura v občini se je po osamosvojitvi Slovenije leta 1991 začela spreminjati. Od prejšnjih nosilnih panog, sta ostali še tekstilna in lesna industrija, vendar z manjšim številom zaposlenih, usnjarska pa je zamrla. Nastajati pa so začela nova, manjša podjetja in obrtne dejavnosti, ki pa dotedanje zaposlenosti niso uspela nadomestiti, zato je večina prebivalcev zaposlena v drugih krajih, zlasti v Ljubljani.</w:t>
      </w:r>
      <w:r w:rsidR="00084706">
        <w:t xml:space="preserve"> Tako je danes Litija je občina z izrazito dnevno migracijo. Kar polovica vseh zaposlenih odhaja na delo v druge občine, predvsem v ljubljansko. </w:t>
      </w:r>
    </w:p>
    <w:p w:rsidR="00352CBA" w:rsidRPr="00352CBA" w:rsidRDefault="00352CBA" w:rsidP="00A502C1">
      <w:pPr>
        <w:jc w:val="both"/>
      </w:pPr>
    </w:p>
    <w:p w:rsidR="00D2718B" w:rsidRPr="00375520" w:rsidRDefault="00D2718B" w:rsidP="00CE527F">
      <w:pPr>
        <w:jc w:val="both"/>
      </w:pPr>
    </w:p>
    <w:p w:rsidR="00F22496" w:rsidRPr="00CE527F" w:rsidRDefault="00F22496" w:rsidP="00CE527F">
      <w:pPr>
        <w:jc w:val="both"/>
      </w:pPr>
    </w:p>
    <w:p w:rsidR="003604D9" w:rsidRDefault="00084706" w:rsidP="003604D9">
      <w:pPr>
        <w:numPr>
          <w:ilvl w:val="1"/>
          <w:numId w:val="8"/>
        </w:numPr>
        <w:rPr>
          <w:b/>
          <w:color w:val="FF0000"/>
        </w:rPr>
      </w:pPr>
      <w:r>
        <w:rPr>
          <w:b/>
          <w:color w:val="FF0000"/>
        </w:rPr>
        <w:t>Prebivalstvo po starostnih skupinah in spolu</w:t>
      </w:r>
      <w:r w:rsidR="00EB2345">
        <w:rPr>
          <w:b/>
          <w:color w:val="FF0000"/>
        </w:rPr>
        <w:t xml:space="preserve"> (priloga 1)</w:t>
      </w:r>
    </w:p>
    <w:p w:rsidR="00535DBE" w:rsidRPr="00535DBE" w:rsidRDefault="00535DBE" w:rsidP="00535DBE">
      <w:pPr>
        <w:rPr>
          <w:b/>
          <w:color w:val="FF0000"/>
          <w:sz w:val="10"/>
          <w:szCs w:val="10"/>
        </w:rPr>
      </w:pPr>
    </w:p>
    <w:p w:rsidR="00084706" w:rsidRDefault="00084706" w:rsidP="003941F3">
      <w:pPr>
        <w:jc w:val="both"/>
      </w:pPr>
      <w:r>
        <w:t>V Sloveniji je ob popisu 2002 živelo 1.964.036 prebivalcev. Povprečna gostota prebivalstva je tako znašala 97 preb./</w:t>
      </w:r>
      <w:r w:rsidRPr="00084706">
        <w:t xml:space="preserve"> </w:t>
      </w:r>
      <w:r>
        <w:t>km</w:t>
      </w:r>
      <w:r w:rsidRPr="00CE527F">
        <w:rPr>
          <w:vertAlign w:val="superscript"/>
        </w:rPr>
        <w:t>2</w:t>
      </w:r>
      <w:r>
        <w:t xml:space="preserve">. </w:t>
      </w:r>
    </w:p>
    <w:p w:rsidR="003941F3" w:rsidRDefault="003941F3" w:rsidP="003941F3">
      <w:pPr>
        <w:jc w:val="both"/>
      </w:pPr>
      <w:r>
        <w:t xml:space="preserve">V občini Ribnica je živelo skupaj 9.266 prebivalcev (0,47 % vseh prebivalcev Slovenije), v občini Litija pa 19.120 (0,97 % vseh prebivalcev Slovenije). V obeh občinah je bil delež mladega prebivalstva (prebivalstva mlajšega od 15 let) večji, delež starega prebivalstva </w:t>
      </w:r>
      <w:r w:rsidR="000C4E0C">
        <w:t>(nad 65 let) pa manjši od državnega povprečja.</w:t>
      </w:r>
    </w:p>
    <w:p w:rsidR="000C4E0C" w:rsidRDefault="000C4E0C" w:rsidP="003941F3">
      <w:pPr>
        <w:jc w:val="both"/>
      </w:pPr>
    </w:p>
    <w:p w:rsidR="000C4E0C" w:rsidRPr="007C38F4" w:rsidRDefault="000C4E0C" w:rsidP="003941F3">
      <w:pPr>
        <w:jc w:val="both"/>
        <w:rPr>
          <w:b/>
          <w:sz w:val="20"/>
          <w:szCs w:val="20"/>
        </w:rPr>
      </w:pPr>
      <w:r w:rsidRPr="000C4E0C">
        <w:rPr>
          <w:b/>
          <w:sz w:val="20"/>
          <w:szCs w:val="20"/>
        </w:rPr>
        <w:t xml:space="preserve">Tabela 1: </w:t>
      </w:r>
      <w:r w:rsidRPr="000C4E0C">
        <w:rPr>
          <w:sz w:val="20"/>
          <w:szCs w:val="20"/>
        </w:rPr>
        <w:t>Prikaz deleža mladega in deleža starega prebivalstva</w:t>
      </w:r>
      <w:r>
        <w:rPr>
          <w:sz w:val="20"/>
          <w:szCs w:val="20"/>
        </w:rPr>
        <w:t xml:space="preserve"> </w:t>
      </w:r>
    </w:p>
    <w:p w:rsidR="000C4E0C" w:rsidRPr="007C38F4" w:rsidRDefault="000C4E0C" w:rsidP="003941F3">
      <w:pPr>
        <w:jc w:val="both"/>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0C4E0C" w:rsidRPr="00805E71" w:rsidTr="00805E71">
        <w:tc>
          <w:tcPr>
            <w:tcW w:w="3070" w:type="dxa"/>
            <w:tcBorders>
              <w:top w:val="single" w:sz="18" w:space="0" w:color="auto"/>
              <w:left w:val="single" w:sz="18" w:space="0" w:color="auto"/>
              <w:bottom w:val="single" w:sz="12" w:space="0" w:color="auto"/>
              <w:right w:val="single" w:sz="12" w:space="0" w:color="auto"/>
            </w:tcBorders>
            <w:shd w:val="clear" w:color="auto" w:fill="auto"/>
          </w:tcPr>
          <w:p w:rsidR="000C4E0C" w:rsidRPr="00805E71" w:rsidRDefault="000C4E0C" w:rsidP="00805E71">
            <w:pPr>
              <w:jc w:val="center"/>
              <w:rPr>
                <w:b/>
                <w:sz w:val="20"/>
                <w:szCs w:val="20"/>
              </w:rPr>
            </w:pPr>
            <w:r w:rsidRPr="00805E71">
              <w:rPr>
                <w:b/>
                <w:sz w:val="20"/>
                <w:szCs w:val="20"/>
              </w:rPr>
              <w:t>Občina</w:t>
            </w:r>
          </w:p>
        </w:tc>
        <w:tc>
          <w:tcPr>
            <w:tcW w:w="3071" w:type="dxa"/>
            <w:tcBorders>
              <w:top w:val="single" w:sz="18" w:space="0" w:color="auto"/>
              <w:left w:val="single" w:sz="12" w:space="0" w:color="auto"/>
              <w:bottom w:val="single" w:sz="12" w:space="0" w:color="auto"/>
            </w:tcBorders>
            <w:shd w:val="clear" w:color="auto" w:fill="auto"/>
          </w:tcPr>
          <w:p w:rsidR="000C4E0C" w:rsidRPr="00805E71" w:rsidRDefault="000C4E0C" w:rsidP="00805E71">
            <w:pPr>
              <w:jc w:val="center"/>
              <w:rPr>
                <w:b/>
                <w:sz w:val="20"/>
                <w:szCs w:val="20"/>
              </w:rPr>
            </w:pPr>
            <w:r w:rsidRPr="00805E71">
              <w:rPr>
                <w:b/>
                <w:sz w:val="20"/>
                <w:szCs w:val="20"/>
              </w:rPr>
              <w:t>Mlado prebivalstva (pod 15 let)</w:t>
            </w:r>
          </w:p>
          <w:p w:rsidR="000C4E0C" w:rsidRPr="00805E71" w:rsidRDefault="000C4E0C" w:rsidP="00805E71">
            <w:pPr>
              <w:jc w:val="center"/>
              <w:rPr>
                <w:b/>
                <w:sz w:val="20"/>
                <w:szCs w:val="20"/>
              </w:rPr>
            </w:pPr>
            <w:r w:rsidRPr="00805E71">
              <w:rPr>
                <w:b/>
                <w:sz w:val="20"/>
                <w:szCs w:val="20"/>
              </w:rPr>
              <w:t>%</w:t>
            </w:r>
          </w:p>
        </w:tc>
        <w:tc>
          <w:tcPr>
            <w:tcW w:w="3071" w:type="dxa"/>
            <w:tcBorders>
              <w:top w:val="single" w:sz="18" w:space="0" w:color="auto"/>
              <w:bottom w:val="single" w:sz="12" w:space="0" w:color="auto"/>
              <w:right w:val="single" w:sz="18" w:space="0" w:color="auto"/>
            </w:tcBorders>
            <w:shd w:val="clear" w:color="auto" w:fill="auto"/>
          </w:tcPr>
          <w:p w:rsidR="000C4E0C" w:rsidRPr="00805E71" w:rsidRDefault="000C4E0C" w:rsidP="00805E71">
            <w:pPr>
              <w:jc w:val="center"/>
              <w:rPr>
                <w:b/>
                <w:sz w:val="20"/>
                <w:szCs w:val="20"/>
              </w:rPr>
            </w:pPr>
            <w:r w:rsidRPr="00805E71">
              <w:rPr>
                <w:b/>
                <w:sz w:val="20"/>
                <w:szCs w:val="20"/>
              </w:rPr>
              <w:t>Staro prebivalstvo (nad 65 let)</w:t>
            </w:r>
          </w:p>
          <w:p w:rsidR="000C4E0C" w:rsidRPr="00805E71" w:rsidRDefault="000C4E0C" w:rsidP="00805E71">
            <w:pPr>
              <w:jc w:val="center"/>
              <w:rPr>
                <w:b/>
                <w:sz w:val="20"/>
                <w:szCs w:val="20"/>
              </w:rPr>
            </w:pPr>
            <w:r w:rsidRPr="00805E71">
              <w:rPr>
                <w:b/>
                <w:sz w:val="20"/>
                <w:szCs w:val="20"/>
              </w:rPr>
              <w:t>%</w:t>
            </w:r>
          </w:p>
        </w:tc>
      </w:tr>
      <w:tr w:rsidR="000C4E0C" w:rsidTr="00805E71">
        <w:tc>
          <w:tcPr>
            <w:tcW w:w="3070" w:type="dxa"/>
            <w:tcBorders>
              <w:top w:val="single" w:sz="12" w:space="0" w:color="auto"/>
              <w:left w:val="single" w:sz="18" w:space="0" w:color="auto"/>
              <w:right w:val="single" w:sz="12" w:space="0" w:color="auto"/>
            </w:tcBorders>
            <w:shd w:val="clear" w:color="auto" w:fill="auto"/>
          </w:tcPr>
          <w:p w:rsidR="000C4E0C" w:rsidRPr="00805E71" w:rsidRDefault="000C4E0C" w:rsidP="00805E71">
            <w:pPr>
              <w:jc w:val="center"/>
              <w:rPr>
                <w:b/>
                <w:sz w:val="20"/>
                <w:szCs w:val="20"/>
              </w:rPr>
            </w:pPr>
            <w:r w:rsidRPr="00805E71">
              <w:rPr>
                <w:b/>
                <w:sz w:val="20"/>
                <w:szCs w:val="20"/>
              </w:rPr>
              <w:t>Ribnica</w:t>
            </w:r>
          </w:p>
        </w:tc>
        <w:tc>
          <w:tcPr>
            <w:tcW w:w="3071" w:type="dxa"/>
            <w:tcBorders>
              <w:top w:val="single" w:sz="12" w:space="0" w:color="auto"/>
              <w:left w:val="single" w:sz="12" w:space="0" w:color="auto"/>
            </w:tcBorders>
            <w:shd w:val="clear" w:color="auto" w:fill="auto"/>
          </w:tcPr>
          <w:p w:rsidR="000C4E0C" w:rsidRPr="00805E71" w:rsidRDefault="000C4E0C" w:rsidP="00805E71">
            <w:pPr>
              <w:jc w:val="center"/>
              <w:rPr>
                <w:sz w:val="20"/>
                <w:szCs w:val="20"/>
              </w:rPr>
            </w:pPr>
            <w:r w:rsidRPr="00805E71">
              <w:rPr>
                <w:sz w:val="20"/>
                <w:szCs w:val="20"/>
              </w:rPr>
              <w:t>19,73</w:t>
            </w:r>
          </w:p>
        </w:tc>
        <w:tc>
          <w:tcPr>
            <w:tcW w:w="3071" w:type="dxa"/>
            <w:tcBorders>
              <w:top w:val="single" w:sz="12" w:space="0" w:color="auto"/>
              <w:right w:val="single" w:sz="18" w:space="0" w:color="auto"/>
            </w:tcBorders>
            <w:shd w:val="clear" w:color="auto" w:fill="auto"/>
          </w:tcPr>
          <w:p w:rsidR="000C4E0C" w:rsidRPr="00805E71" w:rsidRDefault="000C4E0C" w:rsidP="00805E71">
            <w:pPr>
              <w:jc w:val="center"/>
              <w:rPr>
                <w:sz w:val="20"/>
                <w:szCs w:val="20"/>
              </w:rPr>
            </w:pPr>
            <w:r w:rsidRPr="00805E71">
              <w:rPr>
                <w:sz w:val="20"/>
                <w:szCs w:val="20"/>
              </w:rPr>
              <w:t>13,96</w:t>
            </w:r>
          </w:p>
        </w:tc>
      </w:tr>
      <w:tr w:rsidR="000C4E0C" w:rsidTr="00805E71">
        <w:tc>
          <w:tcPr>
            <w:tcW w:w="3070" w:type="dxa"/>
            <w:tcBorders>
              <w:left w:val="single" w:sz="18" w:space="0" w:color="auto"/>
              <w:right w:val="single" w:sz="12" w:space="0" w:color="auto"/>
            </w:tcBorders>
            <w:shd w:val="clear" w:color="auto" w:fill="auto"/>
          </w:tcPr>
          <w:p w:rsidR="000C4E0C" w:rsidRPr="00805E71" w:rsidRDefault="000C4E0C" w:rsidP="00805E71">
            <w:pPr>
              <w:jc w:val="center"/>
              <w:rPr>
                <w:b/>
                <w:sz w:val="20"/>
                <w:szCs w:val="20"/>
              </w:rPr>
            </w:pPr>
            <w:r w:rsidRPr="00805E71">
              <w:rPr>
                <w:b/>
                <w:sz w:val="20"/>
                <w:szCs w:val="20"/>
              </w:rPr>
              <w:t>Litija</w:t>
            </w:r>
          </w:p>
        </w:tc>
        <w:tc>
          <w:tcPr>
            <w:tcW w:w="3071" w:type="dxa"/>
            <w:tcBorders>
              <w:left w:val="single" w:sz="12" w:space="0" w:color="auto"/>
            </w:tcBorders>
            <w:shd w:val="clear" w:color="auto" w:fill="auto"/>
          </w:tcPr>
          <w:p w:rsidR="000C4E0C" w:rsidRPr="00805E71" w:rsidRDefault="000C4E0C" w:rsidP="00805E71">
            <w:pPr>
              <w:jc w:val="center"/>
              <w:rPr>
                <w:sz w:val="20"/>
                <w:szCs w:val="20"/>
              </w:rPr>
            </w:pPr>
            <w:r w:rsidRPr="00805E71">
              <w:rPr>
                <w:sz w:val="20"/>
                <w:szCs w:val="20"/>
              </w:rPr>
              <w:t>17,25</w:t>
            </w:r>
          </w:p>
        </w:tc>
        <w:tc>
          <w:tcPr>
            <w:tcW w:w="3071" w:type="dxa"/>
            <w:tcBorders>
              <w:right w:val="single" w:sz="18" w:space="0" w:color="auto"/>
            </w:tcBorders>
            <w:shd w:val="clear" w:color="auto" w:fill="auto"/>
          </w:tcPr>
          <w:p w:rsidR="000C4E0C" w:rsidRPr="00805E71" w:rsidRDefault="000C4E0C" w:rsidP="00805E71">
            <w:pPr>
              <w:jc w:val="center"/>
              <w:rPr>
                <w:sz w:val="20"/>
                <w:szCs w:val="20"/>
              </w:rPr>
            </w:pPr>
            <w:r w:rsidRPr="00805E71">
              <w:rPr>
                <w:sz w:val="20"/>
                <w:szCs w:val="20"/>
              </w:rPr>
              <w:t>12,99</w:t>
            </w:r>
          </w:p>
        </w:tc>
      </w:tr>
      <w:tr w:rsidR="000C4E0C" w:rsidTr="00805E71">
        <w:tc>
          <w:tcPr>
            <w:tcW w:w="3070" w:type="dxa"/>
            <w:tcBorders>
              <w:left w:val="single" w:sz="18" w:space="0" w:color="auto"/>
              <w:bottom w:val="single" w:sz="18" w:space="0" w:color="auto"/>
              <w:right w:val="single" w:sz="12" w:space="0" w:color="auto"/>
            </w:tcBorders>
            <w:shd w:val="clear" w:color="auto" w:fill="auto"/>
          </w:tcPr>
          <w:p w:rsidR="000C4E0C" w:rsidRPr="00805E71" w:rsidRDefault="000C4E0C" w:rsidP="00805E71">
            <w:pPr>
              <w:jc w:val="center"/>
              <w:rPr>
                <w:b/>
                <w:sz w:val="20"/>
                <w:szCs w:val="20"/>
              </w:rPr>
            </w:pPr>
            <w:r w:rsidRPr="00805E71">
              <w:rPr>
                <w:b/>
                <w:sz w:val="20"/>
                <w:szCs w:val="20"/>
              </w:rPr>
              <w:t>SLOVENIJA</w:t>
            </w:r>
          </w:p>
        </w:tc>
        <w:tc>
          <w:tcPr>
            <w:tcW w:w="3071" w:type="dxa"/>
            <w:tcBorders>
              <w:left w:val="single" w:sz="12" w:space="0" w:color="auto"/>
              <w:bottom w:val="single" w:sz="18" w:space="0" w:color="auto"/>
            </w:tcBorders>
            <w:shd w:val="clear" w:color="auto" w:fill="auto"/>
          </w:tcPr>
          <w:p w:rsidR="000C4E0C" w:rsidRPr="00805E71" w:rsidRDefault="000C4E0C" w:rsidP="00805E71">
            <w:pPr>
              <w:jc w:val="center"/>
              <w:rPr>
                <w:sz w:val="20"/>
                <w:szCs w:val="20"/>
              </w:rPr>
            </w:pPr>
            <w:r w:rsidRPr="00805E71">
              <w:rPr>
                <w:sz w:val="20"/>
                <w:szCs w:val="20"/>
              </w:rPr>
              <w:t>15,29</w:t>
            </w:r>
          </w:p>
        </w:tc>
        <w:tc>
          <w:tcPr>
            <w:tcW w:w="3071" w:type="dxa"/>
            <w:tcBorders>
              <w:bottom w:val="single" w:sz="18" w:space="0" w:color="auto"/>
              <w:right w:val="single" w:sz="18" w:space="0" w:color="auto"/>
            </w:tcBorders>
            <w:shd w:val="clear" w:color="auto" w:fill="auto"/>
          </w:tcPr>
          <w:p w:rsidR="000C4E0C" w:rsidRPr="00805E71" w:rsidRDefault="000C4E0C" w:rsidP="00805E71">
            <w:pPr>
              <w:jc w:val="center"/>
              <w:rPr>
                <w:sz w:val="20"/>
                <w:szCs w:val="20"/>
              </w:rPr>
            </w:pPr>
            <w:r w:rsidRPr="00805E71">
              <w:rPr>
                <w:sz w:val="20"/>
                <w:szCs w:val="20"/>
              </w:rPr>
              <w:t>14,71</w:t>
            </w:r>
          </w:p>
        </w:tc>
      </w:tr>
    </w:tbl>
    <w:p w:rsidR="000C4E0C" w:rsidRPr="00084706" w:rsidRDefault="000C4E0C" w:rsidP="003941F3">
      <w:pPr>
        <w:jc w:val="both"/>
      </w:pPr>
    </w:p>
    <w:p w:rsidR="00084706" w:rsidRDefault="000C4E0C" w:rsidP="000C4E0C">
      <w:pPr>
        <w:jc w:val="both"/>
      </w:pPr>
      <w:r>
        <w:lastRenderedPageBreak/>
        <w:t xml:space="preserve">Višji delež mladega prebivalstva je predvsem posledica višje rodnosti </w:t>
      </w:r>
      <w:r w:rsidR="00BF1347">
        <w:t xml:space="preserve">(= povprečno število živorojenih otrok na žensko) </w:t>
      </w:r>
      <w:r>
        <w:t>v teh dveh občinah.  Podatki statističnega urada k</w:t>
      </w:r>
      <w:r w:rsidR="00BF1347">
        <w:t>ažejo, da je državno povprečje leta 2002 znašalo 1,55 otroka na žensko, v občini Ribnica je ta številka znašala 1,78, v občini Litija pa 1,69 otroka na žensko. K višji rodnosti</w:t>
      </w:r>
      <w:r w:rsidR="00ED3AB4">
        <w:t xml:space="preserve"> v občini Ribnica</w:t>
      </w:r>
      <w:r w:rsidR="00BF1347">
        <w:t xml:space="preserve"> je verjetno pripomogla tudi nižja stopnja brezposelnosti </w:t>
      </w:r>
      <w:r w:rsidR="00ED3AB4">
        <w:t>glede na drža</w:t>
      </w:r>
      <w:r w:rsidR="00BF1347">
        <w:t>vno povprečje (</w:t>
      </w:r>
      <w:r w:rsidR="00ED3AB4">
        <w:t xml:space="preserve">ob koncu leta 2011 je bila v občini Ribnica 7,6 %, državno povprečje pa je bilo 12,1 %). Višji delež mladega prebivalstva in manjši delež starega se kaže tudi v nižjem </w:t>
      </w:r>
      <w:r w:rsidR="001D7AE6">
        <w:t>indeksu staranja in povprečni starosti prebivalstva.</w:t>
      </w:r>
      <w:r w:rsidR="00ED3AB4">
        <w:t xml:space="preserve"> Indeks staranja je pri ženskah višji, zaradi manjšega števila žensk do 15 let</w:t>
      </w:r>
      <w:r w:rsidR="00957542">
        <w:t xml:space="preserve"> in zaradi daljše</w:t>
      </w:r>
      <w:r w:rsidR="00ED3AB4">
        <w:t xml:space="preserve"> življenjske dobe žensk. </w:t>
      </w:r>
    </w:p>
    <w:p w:rsidR="00ED3AB4" w:rsidRPr="00B95520" w:rsidRDefault="00ED3AB4" w:rsidP="000C4E0C">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160"/>
        <w:gridCol w:w="2160"/>
      </w:tblGrid>
      <w:tr w:rsidR="00ED3AB4" w:rsidRPr="00805E71" w:rsidTr="00805E71">
        <w:tc>
          <w:tcPr>
            <w:tcW w:w="4068" w:type="dxa"/>
            <w:gridSpan w:val="2"/>
            <w:tcBorders>
              <w:top w:val="single" w:sz="24" w:space="0" w:color="auto"/>
              <w:left w:val="single" w:sz="24" w:space="0" w:color="auto"/>
              <w:bottom w:val="single" w:sz="18" w:space="0" w:color="auto"/>
            </w:tcBorders>
            <w:shd w:val="clear" w:color="auto" w:fill="auto"/>
          </w:tcPr>
          <w:p w:rsidR="00ED3AB4" w:rsidRPr="00805E71" w:rsidRDefault="00ED3AB4" w:rsidP="000C3053">
            <w:pPr>
              <w:rPr>
                <w:sz w:val="20"/>
                <w:szCs w:val="20"/>
              </w:rPr>
            </w:pPr>
          </w:p>
        </w:tc>
        <w:tc>
          <w:tcPr>
            <w:tcW w:w="2160" w:type="dxa"/>
            <w:tcBorders>
              <w:top w:val="single" w:sz="24" w:space="0" w:color="auto"/>
              <w:bottom w:val="single" w:sz="18" w:space="0" w:color="auto"/>
              <w:right w:val="single" w:sz="24" w:space="0" w:color="auto"/>
            </w:tcBorders>
            <w:shd w:val="clear" w:color="auto" w:fill="auto"/>
          </w:tcPr>
          <w:p w:rsidR="00ED3AB4" w:rsidRPr="00805E71" w:rsidRDefault="00ED3AB4" w:rsidP="00805E71">
            <w:pPr>
              <w:jc w:val="center"/>
              <w:rPr>
                <w:b/>
                <w:bCs/>
                <w:sz w:val="20"/>
                <w:szCs w:val="20"/>
              </w:rPr>
            </w:pPr>
            <w:r w:rsidRPr="00805E71">
              <w:rPr>
                <w:b/>
                <w:bCs/>
                <w:sz w:val="20"/>
                <w:szCs w:val="20"/>
              </w:rPr>
              <w:t>Indeks staranja</w:t>
            </w:r>
          </w:p>
        </w:tc>
      </w:tr>
      <w:tr w:rsidR="00ED3AB4" w:rsidRPr="00805E71" w:rsidTr="00805E71">
        <w:tc>
          <w:tcPr>
            <w:tcW w:w="1908" w:type="dxa"/>
            <w:vMerge w:val="restart"/>
            <w:tcBorders>
              <w:top w:val="single" w:sz="18" w:space="0" w:color="auto"/>
              <w:left w:val="single" w:sz="24" w:space="0" w:color="auto"/>
              <w:right w:val="single" w:sz="18" w:space="0" w:color="auto"/>
            </w:tcBorders>
            <w:shd w:val="clear" w:color="auto" w:fill="auto"/>
          </w:tcPr>
          <w:p w:rsidR="00ED3AB4" w:rsidRPr="00805E71" w:rsidRDefault="00ED3AB4" w:rsidP="000C3053">
            <w:pPr>
              <w:rPr>
                <w:sz w:val="20"/>
                <w:szCs w:val="20"/>
              </w:rPr>
            </w:pPr>
            <w:r w:rsidRPr="00805E71">
              <w:rPr>
                <w:sz w:val="20"/>
                <w:szCs w:val="20"/>
              </w:rPr>
              <w:t>Skupaj</w:t>
            </w:r>
          </w:p>
        </w:tc>
        <w:tc>
          <w:tcPr>
            <w:tcW w:w="2160" w:type="dxa"/>
            <w:tcBorders>
              <w:top w:val="single" w:sz="18" w:space="0" w:color="auto"/>
              <w:left w:val="single" w:sz="18" w:space="0" w:color="auto"/>
            </w:tcBorders>
            <w:shd w:val="clear" w:color="auto" w:fill="auto"/>
          </w:tcPr>
          <w:p w:rsidR="00ED3AB4" w:rsidRPr="00805E71" w:rsidRDefault="00ED3AB4" w:rsidP="00805E71">
            <w:pPr>
              <w:jc w:val="right"/>
              <w:rPr>
                <w:sz w:val="20"/>
                <w:szCs w:val="20"/>
              </w:rPr>
            </w:pPr>
            <w:r w:rsidRPr="00805E71">
              <w:rPr>
                <w:color w:val="FFFFFF"/>
                <w:sz w:val="20"/>
                <w:szCs w:val="20"/>
              </w:rPr>
              <w:t>..</w:t>
            </w:r>
            <w:r w:rsidRPr="00805E71">
              <w:rPr>
                <w:sz w:val="20"/>
                <w:szCs w:val="20"/>
              </w:rPr>
              <w:t>Ribnica</w:t>
            </w:r>
          </w:p>
        </w:tc>
        <w:tc>
          <w:tcPr>
            <w:tcW w:w="2160" w:type="dxa"/>
            <w:tcBorders>
              <w:top w:val="single" w:sz="18" w:space="0" w:color="auto"/>
              <w:right w:val="single" w:sz="24" w:space="0" w:color="auto"/>
            </w:tcBorders>
            <w:shd w:val="clear" w:color="auto" w:fill="auto"/>
          </w:tcPr>
          <w:p w:rsidR="00ED3AB4" w:rsidRPr="00805E71" w:rsidRDefault="00ED3AB4" w:rsidP="00805E71">
            <w:pPr>
              <w:jc w:val="right"/>
              <w:rPr>
                <w:sz w:val="20"/>
                <w:szCs w:val="20"/>
              </w:rPr>
            </w:pPr>
            <w:r w:rsidRPr="00805E71">
              <w:rPr>
                <w:sz w:val="20"/>
                <w:szCs w:val="20"/>
              </w:rPr>
              <w:t>70,7</w:t>
            </w:r>
          </w:p>
        </w:tc>
      </w:tr>
      <w:tr w:rsidR="00ED3AB4" w:rsidRPr="00805E71" w:rsidTr="00805E71">
        <w:tc>
          <w:tcPr>
            <w:tcW w:w="1908" w:type="dxa"/>
            <w:vMerge/>
            <w:tcBorders>
              <w:left w:val="single" w:sz="24" w:space="0" w:color="auto"/>
              <w:right w:val="single" w:sz="18" w:space="0" w:color="auto"/>
            </w:tcBorders>
            <w:shd w:val="clear" w:color="auto" w:fill="auto"/>
          </w:tcPr>
          <w:p w:rsidR="00ED3AB4" w:rsidRPr="00805E71" w:rsidRDefault="00ED3AB4" w:rsidP="000C3053">
            <w:pPr>
              <w:rPr>
                <w:sz w:val="20"/>
                <w:szCs w:val="20"/>
              </w:rPr>
            </w:pPr>
          </w:p>
        </w:tc>
        <w:tc>
          <w:tcPr>
            <w:tcW w:w="2160" w:type="dxa"/>
            <w:tcBorders>
              <w:left w:val="single" w:sz="18" w:space="0" w:color="auto"/>
            </w:tcBorders>
            <w:shd w:val="clear" w:color="auto" w:fill="auto"/>
          </w:tcPr>
          <w:p w:rsidR="00ED3AB4" w:rsidRPr="00805E71" w:rsidRDefault="00ED3AB4" w:rsidP="00805E71">
            <w:pPr>
              <w:jc w:val="right"/>
              <w:rPr>
                <w:sz w:val="20"/>
                <w:szCs w:val="20"/>
              </w:rPr>
            </w:pPr>
            <w:r w:rsidRPr="00805E71">
              <w:rPr>
                <w:sz w:val="20"/>
                <w:szCs w:val="20"/>
              </w:rPr>
              <w:t>Litija</w:t>
            </w:r>
          </w:p>
        </w:tc>
        <w:tc>
          <w:tcPr>
            <w:tcW w:w="2160" w:type="dxa"/>
            <w:tcBorders>
              <w:right w:val="single" w:sz="24" w:space="0" w:color="auto"/>
            </w:tcBorders>
            <w:shd w:val="clear" w:color="auto" w:fill="auto"/>
          </w:tcPr>
          <w:p w:rsidR="00ED3AB4" w:rsidRPr="00805E71" w:rsidRDefault="00ED3AB4" w:rsidP="00805E71">
            <w:pPr>
              <w:jc w:val="right"/>
              <w:rPr>
                <w:sz w:val="20"/>
                <w:szCs w:val="20"/>
              </w:rPr>
            </w:pPr>
            <w:r w:rsidRPr="00805E71">
              <w:rPr>
                <w:sz w:val="20"/>
                <w:szCs w:val="20"/>
              </w:rPr>
              <w:t>75,3</w:t>
            </w:r>
          </w:p>
        </w:tc>
      </w:tr>
      <w:tr w:rsidR="00ED3AB4" w:rsidRPr="00805E71" w:rsidTr="00805E71">
        <w:tc>
          <w:tcPr>
            <w:tcW w:w="1908" w:type="dxa"/>
            <w:vMerge/>
            <w:tcBorders>
              <w:left w:val="single" w:sz="24" w:space="0" w:color="auto"/>
              <w:bottom w:val="single" w:sz="18" w:space="0" w:color="auto"/>
              <w:right w:val="single" w:sz="18" w:space="0" w:color="auto"/>
            </w:tcBorders>
            <w:shd w:val="clear" w:color="auto" w:fill="auto"/>
          </w:tcPr>
          <w:p w:rsidR="00ED3AB4" w:rsidRPr="00805E71" w:rsidRDefault="00ED3AB4" w:rsidP="000C3053">
            <w:pPr>
              <w:rPr>
                <w:sz w:val="20"/>
                <w:szCs w:val="20"/>
              </w:rPr>
            </w:pPr>
          </w:p>
        </w:tc>
        <w:tc>
          <w:tcPr>
            <w:tcW w:w="2160" w:type="dxa"/>
            <w:tcBorders>
              <w:left w:val="single" w:sz="18" w:space="0" w:color="auto"/>
              <w:bottom w:val="single" w:sz="18" w:space="0" w:color="auto"/>
            </w:tcBorders>
            <w:shd w:val="clear" w:color="auto" w:fill="auto"/>
          </w:tcPr>
          <w:p w:rsidR="00ED3AB4" w:rsidRPr="00805E71" w:rsidRDefault="00ED3AB4" w:rsidP="00805E71">
            <w:pPr>
              <w:jc w:val="right"/>
              <w:rPr>
                <w:sz w:val="20"/>
                <w:szCs w:val="20"/>
              </w:rPr>
            </w:pPr>
            <w:r w:rsidRPr="00805E71">
              <w:rPr>
                <w:sz w:val="20"/>
                <w:szCs w:val="20"/>
              </w:rPr>
              <w:t>Slovenija</w:t>
            </w:r>
          </w:p>
        </w:tc>
        <w:tc>
          <w:tcPr>
            <w:tcW w:w="2160" w:type="dxa"/>
            <w:tcBorders>
              <w:bottom w:val="single" w:sz="18" w:space="0" w:color="auto"/>
              <w:right w:val="single" w:sz="24" w:space="0" w:color="auto"/>
            </w:tcBorders>
            <w:shd w:val="clear" w:color="auto" w:fill="auto"/>
          </w:tcPr>
          <w:p w:rsidR="00ED3AB4" w:rsidRPr="00805E71" w:rsidRDefault="00ED3AB4" w:rsidP="00805E71">
            <w:pPr>
              <w:jc w:val="right"/>
              <w:rPr>
                <w:sz w:val="20"/>
                <w:szCs w:val="20"/>
              </w:rPr>
            </w:pPr>
            <w:r w:rsidRPr="00805E71">
              <w:rPr>
                <w:sz w:val="20"/>
                <w:szCs w:val="20"/>
              </w:rPr>
              <w:t>96,3</w:t>
            </w:r>
          </w:p>
        </w:tc>
      </w:tr>
      <w:tr w:rsidR="00ED3AB4" w:rsidRPr="00805E71" w:rsidTr="00805E71">
        <w:tc>
          <w:tcPr>
            <w:tcW w:w="1908" w:type="dxa"/>
            <w:vMerge w:val="restart"/>
            <w:tcBorders>
              <w:top w:val="single" w:sz="18" w:space="0" w:color="auto"/>
              <w:left w:val="single" w:sz="24" w:space="0" w:color="auto"/>
              <w:right w:val="single" w:sz="18" w:space="0" w:color="auto"/>
            </w:tcBorders>
            <w:shd w:val="clear" w:color="auto" w:fill="auto"/>
          </w:tcPr>
          <w:p w:rsidR="00ED3AB4" w:rsidRPr="00805E71" w:rsidRDefault="00ED3AB4" w:rsidP="000C3053">
            <w:pPr>
              <w:rPr>
                <w:sz w:val="20"/>
                <w:szCs w:val="20"/>
              </w:rPr>
            </w:pPr>
            <w:r w:rsidRPr="00805E71">
              <w:rPr>
                <w:sz w:val="20"/>
                <w:szCs w:val="20"/>
              </w:rPr>
              <w:t>Moški</w:t>
            </w:r>
          </w:p>
        </w:tc>
        <w:tc>
          <w:tcPr>
            <w:tcW w:w="2160" w:type="dxa"/>
            <w:tcBorders>
              <w:top w:val="single" w:sz="18" w:space="0" w:color="auto"/>
              <w:left w:val="single" w:sz="18" w:space="0" w:color="auto"/>
            </w:tcBorders>
            <w:shd w:val="clear" w:color="auto" w:fill="auto"/>
          </w:tcPr>
          <w:p w:rsidR="00ED3AB4" w:rsidRPr="00805E71" w:rsidRDefault="00ED3AB4" w:rsidP="00805E71">
            <w:pPr>
              <w:jc w:val="right"/>
              <w:rPr>
                <w:sz w:val="20"/>
                <w:szCs w:val="20"/>
              </w:rPr>
            </w:pPr>
            <w:r w:rsidRPr="00805E71">
              <w:rPr>
                <w:sz w:val="20"/>
                <w:szCs w:val="20"/>
              </w:rPr>
              <w:t>Ribnica</w:t>
            </w:r>
          </w:p>
        </w:tc>
        <w:tc>
          <w:tcPr>
            <w:tcW w:w="2160" w:type="dxa"/>
            <w:tcBorders>
              <w:top w:val="single" w:sz="18" w:space="0" w:color="auto"/>
              <w:right w:val="single" w:sz="24" w:space="0" w:color="auto"/>
            </w:tcBorders>
            <w:shd w:val="clear" w:color="auto" w:fill="auto"/>
          </w:tcPr>
          <w:p w:rsidR="00ED3AB4" w:rsidRPr="00805E71" w:rsidRDefault="00ED3AB4" w:rsidP="00805E71">
            <w:pPr>
              <w:jc w:val="right"/>
              <w:rPr>
                <w:sz w:val="20"/>
                <w:szCs w:val="20"/>
              </w:rPr>
            </w:pPr>
            <w:r w:rsidRPr="00805E71">
              <w:rPr>
                <w:sz w:val="20"/>
                <w:szCs w:val="20"/>
              </w:rPr>
              <w:t>54,5</w:t>
            </w:r>
          </w:p>
        </w:tc>
      </w:tr>
      <w:tr w:rsidR="00ED3AB4" w:rsidRPr="00805E71" w:rsidTr="00805E71">
        <w:tc>
          <w:tcPr>
            <w:tcW w:w="1908" w:type="dxa"/>
            <w:vMerge/>
            <w:tcBorders>
              <w:left w:val="single" w:sz="24" w:space="0" w:color="auto"/>
              <w:right w:val="single" w:sz="18" w:space="0" w:color="auto"/>
            </w:tcBorders>
            <w:shd w:val="clear" w:color="auto" w:fill="auto"/>
          </w:tcPr>
          <w:p w:rsidR="00ED3AB4" w:rsidRPr="00805E71" w:rsidRDefault="00ED3AB4" w:rsidP="000C3053">
            <w:pPr>
              <w:rPr>
                <w:sz w:val="20"/>
                <w:szCs w:val="20"/>
              </w:rPr>
            </w:pPr>
          </w:p>
        </w:tc>
        <w:tc>
          <w:tcPr>
            <w:tcW w:w="2160" w:type="dxa"/>
            <w:tcBorders>
              <w:left w:val="single" w:sz="18" w:space="0" w:color="auto"/>
            </w:tcBorders>
            <w:shd w:val="clear" w:color="auto" w:fill="auto"/>
          </w:tcPr>
          <w:p w:rsidR="00ED3AB4" w:rsidRPr="00805E71" w:rsidRDefault="00ED3AB4" w:rsidP="00805E71">
            <w:pPr>
              <w:jc w:val="right"/>
              <w:rPr>
                <w:sz w:val="20"/>
                <w:szCs w:val="20"/>
              </w:rPr>
            </w:pPr>
            <w:r w:rsidRPr="00805E71">
              <w:rPr>
                <w:sz w:val="20"/>
                <w:szCs w:val="20"/>
              </w:rPr>
              <w:t>Litija</w:t>
            </w:r>
          </w:p>
        </w:tc>
        <w:tc>
          <w:tcPr>
            <w:tcW w:w="2160" w:type="dxa"/>
            <w:tcBorders>
              <w:right w:val="single" w:sz="24" w:space="0" w:color="auto"/>
            </w:tcBorders>
            <w:shd w:val="clear" w:color="auto" w:fill="auto"/>
          </w:tcPr>
          <w:p w:rsidR="00ED3AB4" w:rsidRPr="00805E71" w:rsidRDefault="00ED3AB4" w:rsidP="00805E71">
            <w:pPr>
              <w:jc w:val="right"/>
              <w:rPr>
                <w:sz w:val="20"/>
                <w:szCs w:val="20"/>
              </w:rPr>
            </w:pPr>
            <w:r w:rsidRPr="00805E71">
              <w:rPr>
                <w:sz w:val="20"/>
                <w:szCs w:val="20"/>
              </w:rPr>
              <w:t>50,8</w:t>
            </w:r>
          </w:p>
        </w:tc>
      </w:tr>
      <w:tr w:rsidR="00ED3AB4" w:rsidRPr="00805E71" w:rsidTr="00805E71">
        <w:tc>
          <w:tcPr>
            <w:tcW w:w="1908" w:type="dxa"/>
            <w:vMerge/>
            <w:tcBorders>
              <w:left w:val="single" w:sz="24" w:space="0" w:color="auto"/>
              <w:bottom w:val="single" w:sz="18" w:space="0" w:color="auto"/>
              <w:right w:val="single" w:sz="18" w:space="0" w:color="auto"/>
            </w:tcBorders>
            <w:shd w:val="clear" w:color="auto" w:fill="auto"/>
          </w:tcPr>
          <w:p w:rsidR="00ED3AB4" w:rsidRPr="00805E71" w:rsidRDefault="00ED3AB4" w:rsidP="000C3053">
            <w:pPr>
              <w:rPr>
                <w:sz w:val="20"/>
                <w:szCs w:val="20"/>
              </w:rPr>
            </w:pPr>
          </w:p>
        </w:tc>
        <w:tc>
          <w:tcPr>
            <w:tcW w:w="2160" w:type="dxa"/>
            <w:tcBorders>
              <w:left w:val="single" w:sz="18" w:space="0" w:color="auto"/>
              <w:bottom w:val="single" w:sz="18" w:space="0" w:color="auto"/>
            </w:tcBorders>
            <w:shd w:val="clear" w:color="auto" w:fill="auto"/>
          </w:tcPr>
          <w:p w:rsidR="00ED3AB4" w:rsidRPr="00805E71" w:rsidRDefault="00ED3AB4" w:rsidP="00805E71">
            <w:pPr>
              <w:jc w:val="right"/>
              <w:rPr>
                <w:sz w:val="20"/>
                <w:szCs w:val="20"/>
              </w:rPr>
            </w:pPr>
            <w:r w:rsidRPr="00805E71">
              <w:rPr>
                <w:sz w:val="20"/>
                <w:szCs w:val="20"/>
              </w:rPr>
              <w:t>Slovenija</w:t>
            </w:r>
          </w:p>
        </w:tc>
        <w:tc>
          <w:tcPr>
            <w:tcW w:w="2160" w:type="dxa"/>
            <w:tcBorders>
              <w:bottom w:val="single" w:sz="18" w:space="0" w:color="auto"/>
              <w:right w:val="single" w:sz="24" w:space="0" w:color="auto"/>
            </w:tcBorders>
            <w:shd w:val="clear" w:color="auto" w:fill="auto"/>
          </w:tcPr>
          <w:p w:rsidR="00ED3AB4" w:rsidRPr="00805E71" w:rsidRDefault="00ED3AB4" w:rsidP="00805E71">
            <w:pPr>
              <w:jc w:val="right"/>
              <w:rPr>
                <w:sz w:val="20"/>
                <w:szCs w:val="20"/>
              </w:rPr>
            </w:pPr>
            <w:r w:rsidRPr="00805E71">
              <w:rPr>
                <w:sz w:val="20"/>
                <w:szCs w:val="20"/>
              </w:rPr>
              <w:t>69,6</w:t>
            </w:r>
          </w:p>
        </w:tc>
      </w:tr>
      <w:tr w:rsidR="00ED3AB4" w:rsidRPr="00805E71" w:rsidTr="00805E71">
        <w:tc>
          <w:tcPr>
            <w:tcW w:w="1908" w:type="dxa"/>
            <w:vMerge w:val="restart"/>
            <w:tcBorders>
              <w:top w:val="single" w:sz="18" w:space="0" w:color="auto"/>
              <w:left w:val="single" w:sz="24" w:space="0" w:color="auto"/>
              <w:right w:val="single" w:sz="18" w:space="0" w:color="auto"/>
            </w:tcBorders>
            <w:shd w:val="clear" w:color="auto" w:fill="auto"/>
          </w:tcPr>
          <w:p w:rsidR="00ED3AB4" w:rsidRPr="00805E71" w:rsidRDefault="00ED3AB4" w:rsidP="000C3053">
            <w:pPr>
              <w:rPr>
                <w:sz w:val="20"/>
                <w:szCs w:val="20"/>
              </w:rPr>
            </w:pPr>
            <w:r w:rsidRPr="00805E71">
              <w:rPr>
                <w:sz w:val="20"/>
                <w:szCs w:val="20"/>
              </w:rPr>
              <w:t>Ženske</w:t>
            </w:r>
          </w:p>
        </w:tc>
        <w:tc>
          <w:tcPr>
            <w:tcW w:w="2160" w:type="dxa"/>
            <w:tcBorders>
              <w:top w:val="single" w:sz="18" w:space="0" w:color="auto"/>
              <w:left w:val="single" w:sz="18" w:space="0" w:color="auto"/>
            </w:tcBorders>
            <w:shd w:val="clear" w:color="auto" w:fill="auto"/>
          </w:tcPr>
          <w:p w:rsidR="00ED3AB4" w:rsidRPr="00805E71" w:rsidRDefault="00ED3AB4" w:rsidP="00805E71">
            <w:pPr>
              <w:jc w:val="right"/>
              <w:rPr>
                <w:sz w:val="20"/>
                <w:szCs w:val="20"/>
              </w:rPr>
            </w:pPr>
            <w:r w:rsidRPr="00805E71">
              <w:rPr>
                <w:sz w:val="20"/>
                <w:szCs w:val="20"/>
              </w:rPr>
              <w:t>Ribnica</w:t>
            </w:r>
          </w:p>
        </w:tc>
        <w:tc>
          <w:tcPr>
            <w:tcW w:w="2160" w:type="dxa"/>
            <w:tcBorders>
              <w:top w:val="single" w:sz="18" w:space="0" w:color="auto"/>
              <w:right w:val="single" w:sz="24" w:space="0" w:color="auto"/>
            </w:tcBorders>
            <w:shd w:val="clear" w:color="auto" w:fill="auto"/>
          </w:tcPr>
          <w:p w:rsidR="00ED3AB4" w:rsidRPr="00805E71" w:rsidRDefault="00ED3AB4" w:rsidP="00805E71">
            <w:pPr>
              <w:jc w:val="right"/>
              <w:rPr>
                <w:sz w:val="20"/>
                <w:szCs w:val="20"/>
              </w:rPr>
            </w:pPr>
            <w:r w:rsidRPr="00805E71">
              <w:rPr>
                <w:sz w:val="20"/>
                <w:szCs w:val="20"/>
              </w:rPr>
              <w:t>87,6</w:t>
            </w:r>
          </w:p>
        </w:tc>
      </w:tr>
      <w:tr w:rsidR="00ED3AB4" w:rsidRPr="00805E71" w:rsidTr="00805E71">
        <w:tc>
          <w:tcPr>
            <w:tcW w:w="1908" w:type="dxa"/>
            <w:vMerge/>
            <w:tcBorders>
              <w:left w:val="single" w:sz="24" w:space="0" w:color="auto"/>
              <w:right w:val="single" w:sz="18" w:space="0" w:color="auto"/>
            </w:tcBorders>
            <w:shd w:val="clear" w:color="auto" w:fill="auto"/>
          </w:tcPr>
          <w:p w:rsidR="00ED3AB4" w:rsidRPr="00805E71" w:rsidRDefault="00ED3AB4" w:rsidP="000C3053">
            <w:pPr>
              <w:rPr>
                <w:sz w:val="20"/>
                <w:szCs w:val="20"/>
              </w:rPr>
            </w:pPr>
          </w:p>
        </w:tc>
        <w:tc>
          <w:tcPr>
            <w:tcW w:w="2160" w:type="dxa"/>
            <w:tcBorders>
              <w:left w:val="single" w:sz="18" w:space="0" w:color="auto"/>
              <w:bottom w:val="single" w:sz="2" w:space="0" w:color="auto"/>
            </w:tcBorders>
            <w:shd w:val="clear" w:color="auto" w:fill="auto"/>
          </w:tcPr>
          <w:p w:rsidR="00ED3AB4" w:rsidRPr="00805E71" w:rsidRDefault="00ED3AB4" w:rsidP="00805E71">
            <w:pPr>
              <w:jc w:val="right"/>
              <w:rPr>
                <w:sz w:val="20"/>
                <w:szCs w:val="20"/>
              </w:rPr>
            </w:pPr>
            <w:r w:rsidRPr="00805E71">
              <w:rPr>
                <w:sz w:val="20"/>
                <w:szCs w:val="20"/>
              </w:rPr>
              <w:t>Litija</w:t>
            </w:r>
          </w:p>
        </w:tc>
        <w:tc>
          <w:tcPr>
            <w:tcW w:w="2160" w:type="dxa"/>
            <w:tcBorders>
              <w:bottom w:val="single" w:sz="2" w:space="0" w:color="auto"/>
              <w:right w:val="single" w:sz="24" w:space="0" w:color="auto"/>
            </w:tcBorders>
            <w:shd w:val="clear" w:color="auto" w:fill="auto"/>
          </w:tcPr>
          <w:p w:rsidR="00ED3AB4" w:rsidRPr="00805E71" w:rsidRDefault="00ED3AB4" w:rsidP="00805E71">
            <w:pPr>
              <w:jc w:val="right"/>
              <w:rPr>
                <w:sz w:val="20"/>
                <w:szCs w:val="20"/>
              </w:rPr>
            </w:pPr>
            <w:r w:rsidRPr="00805E71">
              <w:rPr>
                <w:sz w:val="20"/>
                <w:szCs w:val="20"/>
              </w:rPr>
              <w:t>103,0</w:t>
            </w:r>
          </w:p>
        </w:tc>
      </w:tr>
      <w:tr w:rsidR="00ED3AB4" w:rsidRPr="00805E71" w:rsidTr="00805E71">
        <w:tc>
          <w:tcPr>
            <w:tcW w:w="1908" w:type="dxa"/>
            <w:vMerge/>
            <w:tcBorders>
              <w:left w:val="single" w:sz="24" w:space="0" w:color="auto"/>
              <w:bottom w:val="single" w:sz="24" w:space="0" w:color="auto"/>
              <w:right w:val="single" w:sz="18" w:space="0" w:color="auto"/>
            </w:tcBorders>
            <w:shd w:val="clear" w:color="auto" w:fill="auto"/>
          </w:tcPr>
          <w:p w:rsidR="00ED3AB4" w:rsidRPr="00805E71" w:rsidRDefault="00ED3AB4" w:rsidP="000C3053">
            <w:pPr>
              <w:rPr>
                <w:sz w:val="20"/>
                <w:szCs w:val="20"/>
              </w:rPr>
            </w:pPr>
          </w:p>
        </w:tc>
        <w:tc>
          <w:tcPr>
            <w:tcW w:w="2160" w:type="dxa"/>
            <w:tcBorders>
              <w:top w:val="single" w:sz="2" w:space="0" w:color="auto"/>
              <w:left w:val="single" w:sz="18" w:space="0" w:color="auto"/>
              <w:bottom w:val="single" w:sz="24" w:space="0" w:color="auto"/>
            </w:tcBorders>
            <w:shd w:val="clear" w:color="auto" w:fill="auto"/>
          </w:tcPr>
          <w:p w:rsidR="00ED3AB4" w:rsidRPr="00805E71" w:rsidRDefault="00ED3AB4" w:rsidP="00805E71">
            <w:pPr>
              <w:jc w:val="right"/>
              <w:rPr>
                <w:sz w:val="20"/>
                <w:szCs w:val="20"/>
              </w:rPr>
            </w:pPr>
            <w:r w:rsidRPr="00805E71">
              <w:rPr>
                <w:sz w:val="20"/>
                <w:szCs w:val="20"/>
              </w:rPr>
              <w:t>Slovenija</w:t>
            </w:r>
          </w:p>
        </w:tc>
        <w:tc>
          <w:tcPr>
            <w:tcW w:w="2160" w:type="dxa"/>
            <w:tcBorders>
              <w:top w:val="single" w:sz="2" w:space="0" w:color="auto"/>
              <w:bottom w:val="single" w:sz="24" w:space="0" w:color="auto"/>
              <w:right w:val="single" w:sz="24" w:space="0" w:color="auto"/>
            </w:tcBorders>
            <w:shd w:val="clear" w:color="auto" w:fill="auto"/>
          </w:tcPr>
          <w:p w:rsidR="00ED3AB4" w:rsidRPr="00805E71" w:rsidRDefault="00ED3AB4" w:rsidP="00805E71">
            <w:pPr>
              <w:jc w:val="right"/>
              <w:rPr>
                <w:sz w:val="20"/>
                <w:szCs w:val="20"/>
              </w:rPr>
            </w:pPr>
            <w:r w:rsidRPr="00805E71">
              <w:rPr>
                <w:sz w:val="20"/>
                <w:szCs w:val="20"/>
              </w:rPr>
              <w:t>124,5</w:t>
            </w:r>
          </w:p>
        </w:tc>
      </w:tr>
    </w:tbl>
    <w:p w:rsidR="00ED3AB4" w:rsidRPr="00ED3AB4" w:rsidRDefault="00ED3AB4" w:rsidP="00ED3AB4">
      <w:pPr>
        <w:rPr>
          <w:sz w:val="20"/>
          <w:szCs w:val="20"/>
        </w:rPr>
      </w:pPr>
      <w:r w:rsidRPr="00ED3AB4">
        <w:rPr>
          <w:b/>
          <w:sz w:val="20"/>
          <w:szCs w:val="20"/>
        </w:rPr>
        <w:t xml:space="preserve">Tabela 2: </w:t>
      </w:r>
      <w:r w:rsidRPr="00ED3AB4">
        <w:rPr>
          <w:sz w:val="20"/>
          <w:szCs w:val="20"/>
        </w:rPr>
        <w:t>Indeks staranja prebivalstva ob popisu 2002 (vir: www.stat.si)</w:t>
      </w:r>
    </w:p>
    <w:p w:rsidR="00ED3AB4" w:rsidRDefault="00ED3AB4" w:rsidP="00ED3AB4">
      <w:pPr>
        <w:rPr>
          <w:rFonts w:ascii="Verdana" w:hAnsi="Verdana"/>
        </w:rPr>
      </w:pPr>
    </w:p>
    <w:p w:rsidR="003604D9" w:rsidRPr="00957542" w:rsidRDefault="00957542" w:rsidP="00957542">
      <w:pPr>
        <w:jc w:val="both"/>
        <w:rPr>
          <w:b/>
          <w:color w:val="008000"/>
          <w:sz w:val="28"/>
          <w:szCs w:val="28"/>
        </w:rPr>
      </w:pPr>
      <w:r>
        <w:t>Tako za občino Ribnica kot za občino Litija je značilen pojav upadanja rodnosti in staranja prebivalstva.</w:t>
      </w:r>
      <w:r w:rsidR="001D7AE6">
        <w:t xml:space="preserve"> To nam jasno kažeta tudi starostni piramidi na sliki 3. Spodnji del piramide je čedalje ožji zaradi zmanjševanja števila rojstev, srednji in zgornji del pa širši zaradi </w:t>
      </w:r>
      <w:r w:rsidR="00B97A63">
        <w:t>povečanja deleža zrelega in starega prebivalstva. Staranje prebivalstva je še bolj razvidno iz starostne piramide za Slovenijo (slika 4)</w:t>
      </w:r>
    </w:p>
    <w:p w:rsidR="004D059D" w:rsidRPr="004D059D" w:rsidRDefault="004D059D" w:rsidP="003B5E50"/>
    <w:p w:rsidR="00BD6CDB" w:rsidRDefault="008E2D1A" w:rsidP="00BD6CDB">
      <w:r>
        <w:pict>
          <v:shape id="_x0000_i1029" type="#_x0000_t75" style="width:225.75pt;height:246pt">
            <v:imagedata r:id="rId13" o:title=""/>
          </v:shape>
        </w:pict>
      </w:r>
      <w:r>
        <w:pict>
          <v:shape id="_x0000_i1030" type="#_x0000_t75" style="width:219pt;height:243.75pt">
            <v:imagedata r:id="rId14" o:title=""/>
          </v:shape>
        </w:pict>
      </w:r>
    </w:p>
    <w:p w:rsidR="003B5E50" w:rsidRPr="00957542" w:rsidRDefault="00957542" w:rsidP="003B5E50">
      <w:pPr>
        <w:jc w:val="both"/>
        <w:rPr>
          <w:sz w:val="20"/>
          <w:szCs w:val="20"/>
        </w:rPr>
      </w:pPr>
      <w:r w:rsidRPr="00957542">
        <w:rPr>
          <w:b/>
          <w:sz w:val="20"/>
          <w:szCs w:val="20"/>
        </w:rPr>
        <w:t xml:space="preserve">Slika 3: </w:t>
      </w:r>
      <w:r w:rsidR="00BD6CDB" w:rsidRPr="00957542">
        <w:rPr>
          <w:sz w:val="20"/>
          <w:szCs w:val="20"/>
        </w:rPr>
        <w:t>Starostni piramidi občine Ribnice (levo) in Litije (desno), vir: www.stat.si</w:t>
      </w:r>
    </w:p>
    <w:p w:rsidR="003B5E50" w:rsidRDefault="003B5E50" w:rsidP="003B5E50">
      <w:pPr>
        <w:jc w:val="both"/>
      </w:pPr>
    </w:p>
    <w:p w:rsidR="00BD6CDB" w:rsidRDefault="00BD6CDB" w:rsidP="003B5E50">
      <w:pPr>
        <w:jc w:val="both"/>
      </w:pPr>
    </w:p>
    <w:p w:rsidR="00BD6CDB" w:rsidRDefault="008E2D1A" w:rsidP="00BD6CDB">
      <w:r>
        <w:lastRenderedPageBreak/>
        <w:pict>
          <v:shape id="_x0000_i1031" type="#_x0000_t75" style="width:225pt;height:220.5pt">
            <v:imagedata r:id="rId15" o:title=""/>
          </v:shape>
        </w:pict>
      </w:r>
    </w:p>
    <w:p w:rsidR="00BD6CDB" w:rsidRPr="00C30523" w:rsidRDefault="00C30523" w:rsidP="00BD6CDB">
      <w:pPr>
        <w:rPr>
          <w:sz w:val="20"/>
          <w:szCs w:val="20"/>
        </w:rPr>
      </w:pPr>
      <w:r w:rsidRPr="00C30523">
        <w:rPr>
          <w:b/>
          <w:sz w:val="20"/>
          <w:szCs w:val="20"/>
        </w:rPr>
        <w:t xml:space="preserve">Slika 4: </w:t>
      </w:r>
      <w:r w:rsidR="00BD6CDB" w:rsidRPr="00C30523">
        <w:rPr>
          <w:sz w:val="20"/>
          <w:szCs w:val="20"/>
        </w:rPr>
        <w:t xml:space="preserve">Starostna piramida Slovenije – popis 2002, vir: </w:t>
      </w:r>
      <w:hyperlink r:id="rId16" w:history="1">
        <w:r w:rsidR="00BD6CDB" w:rsidRPr="00C30523">
          <w:rPr>
            <w:rStyle w:val="Hyperlink"/>
            <w:color w:val="auto"/>
            <w:sz w:val="20"/>
            <w:szCs w:val="20"/>
          </w:rPr>
          <w:t>www.stat.si</w:t>
        </w:r>
      </w:hyperlink>
    </w:p>
    <w:p w:rsidR="00BD6CDB" w:rsidRDefault="00BD6CDB" w:rsidP="00BD6CDB"/>
    <w:p w:rsidR="00B97A63" w:rsidRDefault="00B97A63" w:rsidP="00B97A63">
      <w:pPr>
        <w:numPr>
          <w:ilvl w:val="1"/>
          <w:numId w:val="8"/>
        </w:numPr>
        <w:rPr>
          <w:b/>
          <w:color w:val="FF0000"/>
        </w:rPr>
      </w:pPr>
      <w:r>
        <w:rPr>
          <w:b/>
          <w:color w:val="FF0000"/>
        </w:rPr>
        <w:t>Izobrazbena struktura prebivalstva</w:t>
      </w:r>
      <w:r w:rsidR="00EB2345">
        <w:rPr>
          <w:b/>
          <w:color w:val="FF0000"/>
        </w:rPr>
        <w:t xml:space="preserve"> (priloga 2)</w:t>
      </w:r>
    </w:p>
    <w:p w:rsidR="00B97A63" w:rsidRDefault="00124B38" w:rsidP="00124B38">
      <w:pPr>
        <w:jc w:val="both"/>
      </w:pPr>
      <w:r>
        <w:t xml:space="preserve">V občinah Ribnica in Litija je zaznati slabšo izobrazbeno sestavo prebivalstva od državnega povprečja. Brez izobrazbe, z nepopolno osnovno izobrazbo in z osnovno izobrazbo je bilo v občini Ribnica 34,44 % prebivalstva, v občini Litija pa 38,09 % prebivalstva. Takratno državno povprečje je znašalo 33,02 %. </w:t>
      </w:r>
      <w:r w:rsidR="0098449F">
        <w:t xml:space="preserve">Slabša izobrazbena sestava se </w:t>
      </w:r>
      <w:r w:rsidR="008A4BF2">
        <w:t xml:space="preserve">posledično </w:t>
      </w:r>
      <w:r w:rsidR="0098449F">
        <w:t xml:space="preserve">kaže tudi v manjšem deležu prebivalstva z višjo izobrazbo, višjo dodiplomsko izobrazbo in višjo podiplomsko izobrazbo. Na državni ravni je ta delež znašal 12,92 %, v občini Ribnica 10,17 %, v občini Litija pa 7,94 %. Vzroke za ugotovljeno stanje gre iskati predvsem v dolgoletni prometni odrezanosti obeh občin od večjih izobraževalnih in zaposlitvenih središč. </w:t>
      </w:r>
      <w:r w:rsidR="00F90D59">
        <w:t xml:space="preserve">Z razmahom osebnega potniškega prometa in izboljšanjem prometnih povezav, so postala večja središča prometno bolj dostopna. </w:t>
      </w:r>
      <w:r w:rsidR="007C38F4">
        <w:t xml:space="preserve">Posledično se je izboljšala tudi izobrazbena sestava prebivalstva, a razlike so kljub temu še opazne. Če bi šli gledati še podrobneje, bi verjetno ugotovili, da imajo prebivalci naselij ob glavnih prometnicah v povprečju boljšo izobrazbo kot prebivalci v bolj odmaknjenih, hribovitih naseljih, kjer prevladuje delež starega prebivalstva nad mlajšim. </w:t>
      </w:r>
    </w:p>
    <w:p w:rsidR="00122A12" w:rsidRDefault="00122A12" w:rsidP="00124B38">
      <w:pPr>
        <w:jc w:val="both"/>
      </w:pPr>
    </w:p>
    <w:p w:rsidR="00EA791E" w:rsidRDefault="00EA791E" w:rsidP="00124B38">
      <w:pPr>
        <w:jc w:val="both"/>
      </w:pPr>
    </w:p>
    <w:p w:rsidR="00EA791E" w:rsidRDefault="00EA791E" w:rsidP="00124B38">
      <w:pPr>
        <w:jc w:val="both"/>
      </w:pPr>
    </w:p>
    <w:p w:rsidR="00BD6CDB" w:rsidRDefault="00122A12" w:rsidP="00122A12">
      <w:pPr>
        <w:numPr>
          <w:ilvl w:val="1"/>
          <w:numId w:val="8"/>
        </w:numPr>
        <w:jc w:val="both"/>
        <w:rPr>
          <w:b/>
          <w:color w:val="FF0000"/>
        </w:rPr>
      </w:pPr>
      <w:r>
        <w:rPr>
          <w:b/>
          <w:color w:val="FF0000"/>
        </w:rPr>
        <w:t>Dejavnostna struktura prebivalstva</w:t>
      </w:r>
    </w:p>
    <w:p w:rsidR="008A4BF2" w:rsidRPr="008A4BF2" w:rsidRDefault="008A4BF2" w:rsidP="008A4BF2">
      <w:pPr>
        <w:jc w:val="both"/>
        <w:rPr>
          <w:b/>
          <w:color w:val="FF0000"/>
          <w:sz w:val="10"/>
          <w:szCs w:val="10"/>
        </w:rPr>
      </w:pPr>
    </w:p>
    <w:tbl>
      <w:tblPr>
        <w:tblW w:w="9242" w:type="dxa"/>
        <w:tblInd w:w="55" w:type="dxa"/>
        <w:tblLayout w:type="fixed"/>
        <w:tblCellMar>
          <w:left w:w="70" w:type="dxa"/>
          <w:right w:w="70" w:type="dxa"/>
        </w:tblCellMar>
        <w:tblLook w:val="0000" w:firstRow="0" w:lastRow="0" w:firstColumn="0" w:lastColumn="0" w:noHBand="0" w:noVBand="0"/>
      </w:tblPr>
      <w:tblGrid>
        <w:gridCol w:w="983"/>
        <w:gridCol w:w="832"/>
        <w:gridCol w:w="720"/>
        <w:gridCol w:w="833"/>
        <w:gridCol w:w="843"/>
        <w:gridCol w:w="844"/>
        <w:gridCol w:w="698"/>
        <w:gridCol w:w="839"/>
        <w:gridCol w:w="972"/>
        <w:gridCol w:w="839"/>
        <w:gridCol w:w="839"/>
      </w:tblGrid>
      <w:tr w:rsidR="00541112" w:rsidRPr="00541112">
        <w:trPr>
          <w:trHeight w:val="105"/>
        </w:trPr>
        <w:tc>
          <w:tcPr>
            <w:tcW w:w="983" w:type="dxa"/>
            <w:vMerge w:val="restart"/>
            <w:tcBorders>
              <w:top w:val="single" w:sz="18" w:space="0" w:color="auto"/>
              <w:left w:val="single" w:sz="18" w:space="0" w:color="auto"/>
              <w:right w:val="single" w:sz="12" w:space="0" w:color="auto"/>
            </w:tcBorders>
            <w:shd w:val="clear" w:color="auto" w:fill="FFFFFF"/>
            <w:vAlign w:val="center"/>
          </w:tcPr>
          <w:p w:rsidR="00541112" w:rsidRPr="00541112" w:rsidRDefault="00541112" w:rsidP="000C3053">
            <w:pPr>
              <w:rPr>
                <w:rFonts w:ascii="Verdana" w:hAnsi="Verdana" w:cs="Arial"/>
                <w:b/>
                <w:bCs/>
                <w:color w:val="000000"/>
                <w:sz w:val="16"/>
                <w:szCs w:val="16"/>
              </w:rPr>
            </w:pPr>
            <w:r w:rsidRPr="00541112">
              <w:rPr>
                <w:rFonts w:ascii="Verdana" w:hAnsi="Verdana" w:cs="Arial"/>
                <w:b/>
                <w:bCs/>
                <w:color w:val="000000"/>
                <w:sz w:val="16"/>
                <w:szCs w:val="16"/>
              </w:rPr>
              <w:t>OBČINA</w:t>
            </w:r>
          </w:p>
          <w:p w:rsidR="00541112" w:rsidRPr="00541112" w:rsidRDefault="00541112" w:rsidP="000C3053">
            <w:pPr>
              <w:rPr>
                <w:rFonts w:ascii="Verdana" w:hAnsi="Verdana" w:cs="Arial"/>
                <w:b/>
                <w:bCs/>
                <w:color w:val="000000"/>
                <w:sz w:val="16"/>
                <w:szCs w:val="16"/>
              </w:rPr>
            </w:pPr>
            <w:r w:rsidRPr="00541112">
              <w:rPr>
                <w:rFonts w:ascii="Verdana" w:hAnsi="Verdana" w:cs="Arial"/>
                <w:b/>
                <w:bCs/>
                <w:color w:val="000000"/>
                <w:sz w:val="16"/>
                <w:szCs w:val="16"/>
              </w:rPr>
              <w:t> </w:t>
            </w:r>
          </w:p>
        </w:tc>
        <w:tc>
          <w:tcPr>
            <w:tcW w:w="1552" w:type="dxa"/>
            <w:gridSpan w:val="2"/>
            <w:tcBorders>
              <w:top w:val="single" w:sz="18" w:space="0" w:color="auto"/>
              <w:left w:val="single" w:sz="12" w:space="0" w:color="auto"/>
              <w:bottom w:val="single" w:sz="12" w:space="0" w:color="auto"/>
              <w:right w:val="single" w:sz="12" w:space="0" w:color="auto"/>
            </w:tcBorders>
            <w:shd w:val="clear" w:color="auto" w:fill="FFFFFF"/>
            <w:vAlign w:val="center"/>
          </w:tcPr>
          <w:p w:rsidR="00541112" w:rsidRPr="00541112" w:rsidRDefault="00541112" w:rsidP="000C3053">
            <w:pPr>
              <w:jc w:val="center"/>
              <w:rPr>
                <w:rFonts w:ascii="Verdana" w:hAnsi="Verdana" w:cs="Arial"/>
                <w:b/>
                <w:bCs/>
                <w:color w:val="000000"/>
                <w:sz w:val="16"/>
                <w:szCs w:val="16"/>
              </w:rPr>
            </w:pPr>
            <w:r w:rsidRPr="00541112">
              <w:rPr>
                <w:rFonts w:ascii="Verdana" w:hAnsi="Verdana" w:cs="Arial"/>
                <w:b/>
                <w:bCs/>
                <w:color w:val="000000"/>
                <w:sz w:val="16"/>
                <w:szCs w:val="16"/>
              </w:rPr>
              <w:t>Skupaj</w:t>
            </w:r>
          </w:p>
        </w:tc>
        <w:tc>
          <w:tcPr>
            <w:tcW w:w="1676" w:type="dxa"/>
            <w:gridSpan w:val="2"/>
            <w:tcBorders>
              <w:top w:val="single" w:sz="18" w:space="0" w:color="auto"/>
              <w:left w:val="single" w:sz="12" w:space="0" w:color="auto"/>
              <w:bottom w:val="single" w:sz="12" w:space="0" w:color="auto"/>
              <w:right w:val="single" w:sz="12" w:space="0" w:color="auto"/>
            </w:tcBorders>
            <w:shd w:val="clear" w:color="auto" w:fill="FFFFFF"/>
            <w:vAlign w:val="center"/>
          </w:tcPr>
          <w:p w:rsidR="00541112" w:rsidRPr="00541112" w:rsidRDefault="00541112" w:rsidP="000C3053">
            <w:pPr>
              <w:jc w:val="center"/>
              <w:rPr>
                <w:rFonts w:ascii="Verdana" w:hAnsi="Verdana" w:cs="Arial"/>
                <w:b/>
                <w:bCs/>
                <w:color w:val="000000"/>
                <w:sz w:val="16"/>
                <w:szCs w:val="16"/>
              </w:rPr>
            </w:pPr>
            <w:r w:rsidRPr="00541112">
              <w:rPr>
                <w:rFonts w:ascii="Verdana" w:hAnsi="Verdana" w:cs="Arial"/>
                <w:b/>
                <w:bCs/>
                <w:color w:val="000000"/>
                <w:sz w:val="16"/>
                <w:szCs w:val="16"/>
              </w:rPr>
              <w:t>Kmetijske</w:t>
            </w:r>
          </w:p>
        </w:tc>
        <w:tc>
          <w:tcPr>
            <w:tcW w:w="1542" w:type="dxa"/>
            <w:gridSpan w:val="2"/>
            <w:tcBorders>
              <w:top w:val="single" w:sz="18" w:space="0" w:color="auto"/>
              <w:left w:val="single" w:sz="12" w:space="0" w:color="auto"/>
              <w:bottom w:val="single" w:sz="12" w:space="0" w:color="auto"/>
              <w:right w:val="single" w:sz="12" w:space="0" w:color="auto"/>
            </w:tcBorders>
            <w:shd w:val="clear" w:color="auto" w:fill="FFFFFF"/>
            <w:vAlign w:val="center"/>
          </w:tcPr>
          <w:p w:rsidR="00541112" w:rsidRPr="00541112" w:rsidRDefault="00541112" w:rsidP="000C3053">
            <w:pPr>
              <w:jc w:val="center"/>
              <w:rPr>
                <w:rFonts w:ascii="Verdana" w:hAnsi="Verdana" w:cs="Arial"/>
                <w:b/>
                <w:bCs/>
                <w:color w:val="000000"/>
                <w:sz w:val="16"/>
                <w:szCs w:val="16"/>
              </w:rPr>
            </w:pPr>
            <w:r w:rsidRPr="00541112">
              <w:rPr>
                <w:rFonts w:ascii="Verdana" w:hAnsi="Verdana" w:cs="Arial"/>
                <w:b/>
                <w:bCs/>
                <w:color w:val="000000"/>
                <w:sz w:val="16"/>
                <w:szCs w:val="16"/>
              </w:rPr>
              <w:t>Nekmetijske</w:t>
            </w:r>
          </w:p>
        </w:tc>
        <w:tc>
          <w:tcPr>
            <w:tcW w:w="1811" w:type="dxa"/>
            <w:gridSpan w:val="2"/>
            <w:tcBorders>
              <w:top w:val="single" w:sz="18" w:space="0" w:color="auto"/>
              <w:left w:val="single" w:sz="12" w:space="0" w:color="auto"/>
              <w:bottom w:val="single" w:sz="12" w:space="0" w:color="auto"/>
              <w:right w:val="single" w:sz="12" w:space="0" w:color="auto"/>
            </w:tcBorders>
            <w:shd w:val="clear" w:color="auto" w:fill="FFFFFF"/>
            <w:vAlign w:val="center"/>
          </w:tcPr>
          <w:p w:rsidR="00541112" w:rsidRPr="00541112" w:rsidRDefault="00541112" w:rsidP="000C3053">
            <w:pPr>
              <w:jc w:val="center"/>
              <w:rPr>
                <w:rFonts w:ascii="Verdana" w:hAnsi="Verdana" w:cs="Arial"/>
                <w:b/>
                <w:bCs/>
                <w:color w:val="000000"/>
                <w:sz w:val="16"/>
                <w:szCs w:val="16"/>
              </w:rPr>
            </w:pPr>
            <w:r w:rsidRPr="00541112">
              <w:rPr>
                <w:rFonts w:ascii="Verdana" w:hAnsi="Verdana" w:cs="Arial"/>
                <w:b/>
                <w:bCs/>
                <w:color w:val="000000"/>
                <w:sz w:val="16"/>
                <w:szCs w:val="16"/>
              </w:rPr>
              <w:t>Storitvene</w:t>
            </w:r>
          </w:p>
        </w:tc>
        <w:tc>
          <w:tcPr>
            <w:tcW w:w="1678" w:type="dxa"/>
            <w:gridSpan w:val="2"/>
            <w:tcBorders>
              <w:top w:val="single" w:sz="18" w:space="0" w:color="auto"/>
              <w:left w:val="single" w:sz="12" w:space="0" w:color="auto"/>
              <w:bottom w:val="single" w:sz="8" w:space="0" w:color="auto"/>
              <w:right w:val="single" w:sz="18" w:space="0" w:color="auto"/>
            </w:tcBorders>
            <w:shd w:val="clear" w:color="auto" w:fill="FFFFFF"/>
            <w:vAlign w:val="center"/>
          </w:tcPr>
          <w:p w:rsidR="00541112" w:rsidRPr="00541112" w:rsidRDefault="00541112" w:rsidP="000C3053">
            <w:pPr>
              <w:jc w:val="center"/>
              <w:rPr>
                <w:rFonts w:ascii="Verdana" w:hAnsi="Verdana" w:cs="Arial"/>
                <w:b/>
                <w:bCs/>
                <w:color w:val="000000"/>
                <w:sz w:val="16"/>
                <w:szCs w:val="16"/>
              </w:rPr>
            </w:pPr>
            <w:r w:rsidRPr="00541112">
              <w:rPr>
                <w:rFonts w:ascii="Verdana" w:hAnsi="Verdana" w:cs="Arial"/>
                <w:b/>
                <w:bCs/>
                <w:color w:val="000000"/>
                <w:sz w:val="16"/>
                <w:szCs w:val="16"/>
              </w:rPr>
              <w:t>Neznano</w:t>
            </w:r>
          </w:p>
        </w:tc>
      </w:tr>
      <w:tr w:rsidR="00541112" w:rsidRPr="00541112">
        <w:trPr>
          <w:trHeight w:val="345"/>
        </w:trPr>
        <w:tc>
          <w:tcPr>
            <w:tcW w:w="983" w:type="dxa"/>
            <w:vMerge/>
            <w:tcBorders>
              <w:left w:val="single" w:sz="18" w:space="0" w:color="auto"/>
              <w:bottom w:val="single" w:sz="12" w:space="0" w:color="auto"/>
              <w:right w:val="single" w:sz="12" w:space="0" w:color="auto"/>
            </w:tcBorders>
            <w:shd w:val="clear" w:color="auto" w:fill="FFFFFF"/>
            <w:vAlign w:val="center"/>
          </w:tcPr>
          <w:p w:rsidR="00541112" w:rsidRPr="00541112" w:rsidRDefault="00541112" w:rsidP="000C3053">
            <w:pPr>
              <w:rPr>
                <w:rFonts w:ascii="Verdana" w:hAnsi="Verdana" w:cs="Arial"/>
                <w:b/>
                <w:bCs/>
                <w:color w:val="000000"/>
                <w:sz w:val="16"/>
                <w:szCs w:val="16"/>
              </w:rPr>
            </w:pPr>
          </w:p>
        </w:tc>
        <w:tc>
          <w:tcPr>
            <w:tcW w:w="832" w:type="dxa"/>
            <w:tcBorders>
              <w:top w:val="single" w:sz="12" w:space="0" w:color="auto"/>
              <w:left w:val="single" w:sz="12" w:space="0" w:color="auto"/>
              <w:bottom w:val="single" w:sz="12" w:space="0" w:color="auto"/>
              <w:right w:val="single" w:sz="8" w:space="0" w:color="auto"/>
            </w:tcBorders>
            <w:shd w:val="clear" w:color="auto" w:fill="FFFFFF"/>
            <w:vAlign w:val="center"/>
          </w:tcPr>
          <w:p w:rsidR="00541112" w:rsidRPr="00541112" w:rsidRDefault="00541112" w:rsidP="000C3053">
            <w:pPr>
              <w:jc w:val="center"/>
              <w:rPr>
                <w:rFonts w:ascii="Verdana" w:hAnsi="Verdana" w:cs="Arial"/>
                <w:b/>
                <w:bCs/>
                <w:color w:val="000000"/>
                <w:sz w:val="16"/>
                <w:szCs w:val="16"/>
              </w:rPr>
            </w:pPr>
            <w:r>
              <w:rPr>
                <w:rFonts w:ascii="Verdana" w:hAnsi="Verdana" w:cs="Arial"/>
                <w:b/>
                <w:bCs/>
                <w:color w:val="000000"/>
                <w:sz w:val="16"/>
                <w:szCs w:val="16"/>
              </w:rPr>
              <w:t>št.</w:t>
            </w:r>
          </w:p>
        </w:tc>
        <w:tc>
          <w:tcPr>
            <w:tcW w:w="720" w:type="dxa"/>
            <w:tcBorders>
              <w:top w:val="single" w:sz="12" w:space="0" w:color="auto"/>
              <w:left w:val="single" w:sz="8" w:space="0" w:color="auto"/>
              <w:bottom w:val="single" w:sz="12" w:space="0" w:color="auto"/>
              <w:right w:val="single" w:sz="12" w:space="0" w:color="auto"/>
            </w:tcBorders>
            <w:shd w:val="clear" w:color="auto" w:fill="FFFFFF"/>
            <w:vAlign w:val="center"/>
          </w:tcPr>
          <w:p w:rsidR="00541112" w:rsidRPr="00541112" w:rsidRDefault="00541112" w:rsidP="000C3053">
            <w:pPr>
              <w:jc w:val="center"/>
              <w:rPr>
                <w:rFonts w:ascii="Verdana" w:hAnsi="Verdana" w:cs="Arial"/>
                <w:b/>
                <w:bCs/>
                <w:color w:val="000000"/>
                <w:sz w:val="16"/>
                <w:szCs w:val="16"/>
              </w:rPr>
            </w:pPr>
            <w:r w:rsidRPr="00541112">
              <w:rPr>
                <w:rFonts w:ascii="Verdana" w:hAnsi="Verdana" w:cs="Arial"/>
                <w:b/>
                <w:bCs/>
                <w:color w:val="000000"/>
                <w:sz w:val="16"/>
                <w:szCs w:val="16"/>
              </w:rPr>
              <w:t>%</w:t>
            </w:r>
          </w:p>
        </w:tc>
        <w:tc>
          <w:tcPr>
            <w:tcW w:w="833" w:type="dxa"/>
            <w:tcBorders>
              <w:top w:val="single" w:sz="12" w:space="0" w:color="auto"/>
              <w:left w:val="single" w:sz="12" w:space="0" w:color="auto"/>
              <w:bottom w:val="single" w:sz="12" w:space="0" w:color="auto"/>
              <w:right w:val="single" w:sz="8" w:space="0" w:color="auto"/>
            </w:tcBorders>
            <w:shd w:val="clear" w:color="auto" w:fill="FFFFFF"/>
            <w:vAlign w:val="center"/>
          </w:tcPr>
          <w:p w:rsidR="00541112" w:rsidRPr="00541112" w:rsidRDefault="00541112" w:rsidP="000C3053">
            <w:pPr>
              <w:jc w:val="center"/>
              <w:rPr>
                <w:rFonts w:ascii="Verdana" w:hAnsi="Verdana" w:cs="Arial"/>
                <w:b/>
                <w:bCs/>
                <w:color w:val="000000"/>
                <w:sz w:val="16"/>
                <w:szCs w:val="16"/>
              </w:rPr>
            </w:pPr>
            <w:r>
              <w:rPr>
                <w:rFonts w:ascii="Verdana" w:hAnsi="Verdana" w:cs="Arial"/>
                <w:b/>
                <w:bCs/>
                <w:color w:val="000000"/>
                <w:sz w:val="16"/>
                <w:szCs w:val="16"/>
              </w:rPr>
              <w:t>št.</w:t>
            </w:r>
          </w:p>
        </w:tc>
        <w:tc>
          <w:tcPr>
            <w:tcW w:w="843" w:type="dxa"/>
            <w:tcBorders>
              <w:top w:val="single" w:sz="12" w:space="0" w:color="auto"/>
              <w:left w:val="single" w:sz="8" w:space="0" w:color="auto"/>
              <w:bottom w:val="single" w:sz="12" w:space="0" w:color="auto"/>
              <w:right w:val="single" w:sz="12" w:space="0" w:color="auto"/>
            </w:tcBorders>
            <w:shd w:val="clear" w:color="auto" w:fill="FFFFFF"/>
            <w:vAlign w:val="center"/>
          </w:tcPr>
          <w:p w:rsidR="00541112" w:rsidRPr="00541112" w:rsidRDefault="00541112" w:rsidP="000C3053">
            <w:pPr>
              <w:jc w:val="center"/>
              <w:rPr>
                <w:rFonts w:ascii="Verdana" w:hAnsi="Verdana" w:cs="Arial"/>
                <w:b/>
                <w:bCs/>
                <w:color w:val="000000"/>
                <w:sz w:val="16"/>
                <w:szCs w:val="16"/>
              </w:rPr>
            </w:pPr>
            <w:r w:rsidRPr="00541112">
              <w:rPr>
                <w:rFonts w:ascii="Verdana" w:hAnsi="Verdana" w:cs="Arial"/>
                <w:b/>
                <w:bCs/>
                <w:color w:val="000000"/>
                <w:sz w:val="16"/>
                <w:szCs w:val="16"/>
              </w:rPr>
              <w:t>%</w:t>
            </w:r>
          </w:p>
        </w:tc>
        <w:tc>
          <w:tcPr>
            <w:tcW w:w="844" w:type="dxa"/>
            <w:tcBorders>
              <w:top w:val="single" w:sz="12" w:space="0" w:color="auto"/>
              <w:left w:val="single" w:sz="12" w:space="0" w:color="auto"/>
              <w:bottom w:val="single" w:sz="12" w:space="0" w:color="auto"/>
              <w:right w:val="single" w:sz="8" w:space="0" w:color="auto"/>
            </w:tcBorders>
            <w:shd w:val="clear" w:color="auto" w:fill="FFFFFF"/>
            <w:vAlign w:val="center"/>
          </w:tcPr>
          <w:p w:rsidR="00541112" w:rsidRPr="00541112" w:rsidRDefault="00541112" w:rsidP="000C3053">
            <w:pPr>
              <w:jc w:val="center"/>
              <w:rPr>
                <w:rFonts w:ascii="Verdana" w:hAnsi="Verdana" w:cs="Arial"/>
                <w:b/>
                <w:bCs/>
                <w:color w:val="000000"/>
                <w:sz w:val="16"/>
                <w:szCs w:val="16"/>
              </w:rPr>
            </w:pPr>
            <w:r>
              <w:rPr>
                <w:rFonts w:ascii="Verdana" w:hAnsi="Verdana" w:cs="Arial"/>
                <w:b/>
                <w:bCs/>
                <w:color w:val="000000"/>
                <w:sz w:val="16"/>
                <w:szCs w:val="16"/>
              </w:rPr>
              <w:t>št.</w:t>
            </w:r>
          </w:p>
        </w:tc>
        <w:tc>
          <w:tcPr>
            <w:tcW w:w="698" w:type="dxa"/>
            <w:tcBorders>
              <w:top w:val="single" w:sz="12" w:space="0" w:color="auto"/>
              <w:left w:val="single" w:sz="8" w:space="0" w:color="auto"/>
              <w:bottom w:val="single" w:sz="12" w:space="0" w:color="auto"/>
              <w:right w:val="single" w:sz="12" w:space="0" w:color="auto"/>
            </w:tcBorders>
            <w:shd w:val="clear" w:color="auto" w:fill="FFFFFF"/>
            <w:vAlign w:val="center"/>
          </w:tcPr>
          <w:p w:rsidR="00541112" w:rsidRPr="00541112" w:rsidRDefault="00541112" w:rsidP="000C3053">
            <w:pPr>
              <w:jc w:val="center"/>
              <w:rPr>
                <w:rFonts w:ascii="Verdana" w:hAnsi="Verdana" w:cs="Arial"/>
                <w:b/>
                <w:bCs/>
                <w:color w:val="000000"/>
                <w:sz w:val="16"/>
                <w:szCs w:val="16"/>
              </w:rPr>
            </w:pPr>
            <w:r w:rsidRPr="00541112">
              <w:rPr>
                <w:rFonts w:ascii="Verdana" w:hAnsi="Verdana" w:cs="Arial"/>
                <w:b/>
                <w:bCs/>
                <w:color w:val="000000"/>
                <w:sz w:val="16"/>
                <w:szCs w:val="16"/>
              </w:rPr>
              <w:t>%</w:t>
            </w:r>
          </w:p>
        </w:tc>
        <w:tc>
          <w:tcPr>
            <w:tcW w:w="839" w:type="dxa"/>
            <w:tcBorders>
              <w:top w:val="single" w:sz="12" w:space="0" w:color="auto"/>
              <w:left w:val="single" w:sz="12" w:space="0" w:color="auto"/>
              <w:bottom w:val="single" w:sz="12" w:space="0" w:color="auto"/>
              <w:right w:val="single" w:sz="8" w:space="0" w:color="auto"/>
            </w:tcBorders>
            <w:shd w:val="clear" w:color="auto" w:fill="FFFFFF"/>
            <w:vAlign w:val="center"/>
          </w:tcPr>
          <w:p w:rsidR="00541112" w:rsidRPr="00541112" w:rsidRDefault="00541112" w:rsidP="000C3053">
            <w:pPr>
              <w:jc w:val="center"/>
              <w:rPr>
                <w:rFonts w:ascii="Verdana" w:hAnsi="Verdana" w:cs="Arial"/>
                <w:b/>
                <w:bCs/>
                <w:color w:val="000000"/>
                <w:sz w:val="16"/>
                <w:szCs w:val="16"/>
              </w:rPr>
            </w:pPr>
            <w:r>
              <w:rPr>
                <w:rFonts w:ascii="Verdana" w:hAnsi="Verdana" w:cs="Arial"/>
                <w:b/>
                <w:bCs/>
                <w:color w:val="000000"/>
                <w:sz w:val="16"/>
                <w:szCs w:val="16"/>
              </w:rPr>
              <w:t>št.</w:t>
            </w:r>
          </w:p>
        </w:tc>
        <w:tc>
          <w:tcPr>
            <w:tcW w:w="972" w:type="dxa"/>
            <w:tcBorders>
              <w:top w:val="single" w:sz="12" w:space="0" w:color="auto"/>
              <w:left w:val="single" w:sz="8" w:space="0" w:color="auto"/>
              <w:bottom w:val="single" w:sz="12" w:space="0" w:color="auto"/>
              <w:right w:val="single" w:sz="12" w:space="0" w:color="auto"/>
            </w:tcBorders>
            <w:shd w:val="clear" w:color="auto" w:fill="FFFFFF"/>
            <w:vAlign w:val="center"/>
          </w:tcPr>
          <w:p w:rsidR="00541112" w:rsidRPr="00541112" w:rsidRDefault="00541112" w:rsidP="000C3053">
            <w:pPr>
              <w:jc w:val="center"/>
              <w:rPr>
                <w:rFonts w:ascii="Verdana" w:hAnsi="Verdana" w:cs="Arial"/>
                <w:b/>
                <w:bCs/>
                <w:color w:val="000000"/>
                <w:sz w:val="16"/>
                <w:szCs w:val="16"/>
              </w:rPr>
            </w:pPr>
            <w:r w:rsidRPr="00541112">
              <w:rPr>
                <w:rFonts w:ascii="Verdana" w:hAnsi="Verdana" w:cs="Arial"/>
                <w:b/>
                <w:bCs/>
                <w:color w:val="000000"/>
                <w:sz w:val="16"/>
                <w:szCs w:val="16"/>
              </w:rPr>
              <w:t>%</w:t>
            </w:r>
          </w:p>
        </w:tc>
        <w:tc>
          <w:tcPr>
            <w:tcW w:w="839" w:type="dxa"/>
            <w:tcBorders>
              <w:top w:val="single" w:sz="8" w:space="0" w:color="auto"/>
              <w:left w:val="single" w:sz="12" w:space="0" w:color="auto"/>
              <w:bottom w:val="single" w:sz="12" w:space="0" w:color="auto"/>
              <w:right w:val="single" w:sz="8" w:space="0" w:color="auto"/>
            </w:tcBorders>
            <w:shd w:val="clear" w:color="auto" w:fill="FFFFFF"/>
            <w:vAlign w:val="center"/>
          </w:tcPr>
          <w:p w:rsidR="00541112" w:rsidRPr="00541112" w:rsidRDefault="00541112" w:rsidP="000C3053">
            <w:pPr>
              <w:jc w:val="center"/>
              <w:rPr>
                <w:rFonts w:ascii="Verdana" w:hAnsi="Verdana" w:cs="Arial"/>
                <w:b/>
                <w:bCs/>
                <w:color w:val="000000"/>
                <w:sz w:val="16"/>
                <w:szCs w:val="16"/>
              </w:rPr>
            </w:pPr>
            <w:r>
              <w:rPr>
                <w:rFonts w:ascii="Verdana" w:hAnsi="Verdana" w:cs="Arial"/>
                <w:b/>
                <w:bCs/>
                <w:color w:val="000000"/>
                <w:sz w:val="16"/>
                <w:szCs w:val="16"/>
              </w:rPr>
              <w:t>št.</w:t>
            </w:r>
          </w:p>
        </w:tc>
        <w:tc>
          <w:tcPr>
            <w:tcW w:w="839" w:type="dxa"/>
            <w:tcBorders>
              <w:top w:val="single" w:sz="8" w:space="0" w:color="auto"/>
              <w:left w:val="single" w:sz="8" w:space="0" w:color="auto"/>
              <w:bottom w:val="single" w:sz="12" w:space="0" w:color="auto"/>
              <w:right w:val="single" w:sz="18" w:space="0" w:color="auto"/>
            </w:tcBorders>
            <w:shd w:val="clear" w:color="auto" w:fill="FFFFFF"/>
            <w:vAlign w:val="center"/>
          </w:tcPr>
          <w:p w:rsidR="00541112" w:rsidRPr="00541112" w:rsidRDefault="00541112" w:rsidP="000C3053">
            <w:pPr>
              <w:jc w:val="center"/>
              <w:rPr>
                <w:rFonts w:ascii="Verdana" w:hAnsi="Verdana" w:cs="Arial"/>
                <w:b/>
                <w:bCs/>
                <w:color w:val="000000"/>
                <w:sz w:val="16"/>
                <w:szCs w:val="16"/>
              </w:rPr>
            </w:pPr>
            <w:r w:rsidRPr="00541112">
              <w:rPr>
                <w:rFonts w:ascii="Verdana" w:hAnsi="Verdana" w:cs="Arial"/>
                <w:b/>
                <w:bCs/>
                <w:color w:val="000000"/>
                <w:sz w:val="16"/>
                <w:szCs w:val="16"/>
              </w:rPr>
              <w:t>%</w:t>
            </w:r>
          </w:p>
        </w:tc>
      </w:tr>
      <w:tr w:rsidR="00541112" w:rsidRPr="00541112">
        <w:trPr>
          <w:trHeight w:val="255"/>
        </w:trPr>
        <w:tc>
          <w:tcPr>
            <w:tcW w:w="983" w:type="dxa"/>
            <w:tcBorders>
              <w:top w:val="single" w:sz="12" w:space="0" w:color="auto"/>
              <w:left w:val="single" w:sz="18" w:space="0" w:color="auto"/>
              <w:bottom w:val="single" w:sz="8" w:space="0" w:color="auto"/>
              <w:right w:val="single" w:sz="12" w:space="0" w:color="auto"/>
            </w:tcBorders>
            <w:shd w:val="clear" w:color="auto" w:fill="FFFFFF"/>
            <w:vAlign w:val="center"/>
          </w:tcPr>
          <w:p w:rsidR="00541112" w:rsidRPr="00541112" w:rsidRDefault="00541112" w:rsidP="000C3053">
            <w:pPr>
              <w:jc w:val="center"/>
              <w:rPr>
                <w:rFonts w:ascii="Verdana" w:hAnsi="Verdana" w:cs="Arial"/>
                <w:color w:val="FFFFFF"/>
                <w:sz w:val="16"/>
                <w:szCs w:val="16"/>
              </w:rPr>
            </w:pPr>
            <w:r w:rsidRPr="00541112">
              <w:rPr>
                <w:rFonts w:ascii="Verdana" w:hAnsi="Verdana" w:cs="Arial"/>
                <w:color w:val="000000"/>
                <w:sz w:val="16"/>
                <w:szCs w:val="16"/>
              </w:rPr>
              <w:t>Ribnica</w:t>
            </w:r>
            <w:r w:rsidRPr="00541112">
              <w:rPr>
                <w:rFonts w:ascii="Verdana" w:hAnsi="Verdana" w:cs="Arial"/>
                <w:color w:val="FFFFFF"/>
                <w:sz w:val="16"/>
                <w:szCs w:val="16"/>
              </w:rPr>
              <w:t xml:space="preserve"> .</w:t>
            </w:r>
          </w:p>
        </w:tc>
        <w:tc>
          <w:tcPr>
            <w:tcW w:w="832" w:type="dxa"/>
            <w:tcBorders>
              <w:top w:val="single" w:sz="12" w:space="0" w:color="auto"/>
              <w:left w:val="single" w:sz="12" w:space="0" w:color="auto"/>
              <w:bottom w:val="single" w:sz="8" w:space="0" w:color="auto"/>
              <w:right w:val="single" w:sz="8" w:space="0" w:color="auto"/>
            </w:tcBorders>
            <w:shd w:val="clear" w:color="auto" w:fill="FFFFFF"/>
            <w:vAlign w:val="center"/>
          </w:tcPr>
          <w:p w:rsidR="00541112" w:rsidRPr="00541112" w:rsidRDefault="00541112" w:rsidP="000C3053">
            <w:pPr>
              <w:jc w:val="center"/>
              <w:rPr>
                <w:rFonts w:ascii="Verdana" w:hAnsi="Verdana" w:cs="Arial"/>
                <w:color w:val="000000"/>
                <w:sz w:val="16"/>
                <w:szCs w:val="16"/>
              </w:rPr>
            </w:pPr>
            <w:r w:rsidRPr="00541112">
              <w:rPr>
                <w:rFonts w:ascii="Verdana" w:hAnsi="Verdana" w:cs="Arial"/>
                <w:color w:val="000000"/>
                <w:sz w:val="16"/>
                <w:szCs w:val="16"/>
              </w:rPr>
              <w:t>3575</w:t>
            </w:r>
          </w:p>
        </w:tc>
        <w:tc>
          <w:tcPr>
            <w:tcW w:w="720" w:type="dxa"/>
            <w:tcBorders>
              <w:top w:val="single" w:sz="12" w:space="0" w:color="auto"/>
              <w:left w:val="single" w:sz="8" w:space="0" w:color="auto"/>
              <w:bottom w:val="single" w:sz="8" w:space="0" w:color="auto"/>
              <w:right w:val="single" w:sz="12" w:space="0" w:color="auto"/>
            </w:tcBorders>
            <w:shd w:val="clear" w:color="auto" w:fill="FFFFFF"/>
            <w:vAlign w:val="center"/>
          </w:tcPr>
          <w:p w:rsidR="00541112" w:rsidRPr="00541112" w:rsidRDefault="00541112" w:rsidP="000C3053">
            <w:pPr>
              <w:jc w:val="center"/>
              <w:rPr>
                <w:rFonts w:ascii="Verdana" w:hAnsi="Verdana" w:cs="Arial"/>
                <w:color w:val="000000"/>
                <w:sz w:val="16"/>
                <w:szCs w:val="16"/>
              </w:rPr>
            </w:pPr>
            <w:r w:rsidRPr="00541112">
              <w:rPr>
                <w:rFonts w:ascii="Verdana" w:hAnsi="Verdana" w:cs="Arial"/>
                <w:color w:val="000000"/>
                <w:sz w:val="16"/>
                <w:szCs w:val="16"/>
              </w:rPr>
              <w:t>100,00</w:t>
            </w:r>
          </w:p>
        </w:tc>
        <w:tc>
          <w:tcPr>
            <w:tcW w:w="833" w:type="dxa"/>
            <w:tcBorders>
              <w:top w:val="single" w:sz="12" w:space="0" w:color="auto"/>
              <w:left w:val="single" w:sz="12" w:space="0" w:color="auto"/>
              <w:bottom w:val="single" w:sz="8" w:space="0" w:color="auto"/>
              <w:right w:val="single" w:sz="8" w:space="0" w:color="auto"/>
            </w:tcBorders>
            <w:shd w:val="clear" w:color="auto" w:fill="FFFFFF"/>
            <w:vAlign w:val="center"/>
          </w:tcPr>
          <w:p w:rsidR="00541112" w:rsidRPr="00541112" w:rsidRDefault="00541112" w:rsidP="000C3053">
            <w:pPr>
              <w:jc w:val="center"/>
              <w:rPr>
                <w:rFonts w:ascii="Verdana" w:hAnsi="Verdana" w:cs="Arial"/>
                <w:color w:val="000000"/>
                <w:sz w:val="16"/>
                <w:szCs w:val="16"/>
              </w:rPr>
            </w:pPr>
            <w:r w:rsidRPr="00541112">
              <w:rPr>
                <w:rFonts w:ascii="Verdana" w:hAnsi="Verdana" w:cs="Arial"/>
                <w:color w:val="000000"/>
                <w:sz w:val="16"/>
                <w:szCs w:val="16"/>
              </w:rPr>
              <w:t>148</w:t>
            </w:r>
          </w:p>
        </w:tc>
        <w:tc>
          <w:tcPr>
            <w:tcW w:w="843" w:type="dxa"/>
            <w:tcBorders>
              <w:top w:val="single" w:sz="12" w:space="0" w:color="auto"/>
              <w:left w:val="single" w:sz="8" w:space="0" w:color="auto"/>
              <w:bottom w:val="single" w:sz="8" w:space="0" w:color="auto"/>
              <w:right w:val="single" w:sz="12" w:space="0" w:color="auto"/>
            </w:tcBorders>
            <w:shd w:val="clear" w:color="auto" w:fill="FFFFFF"/>
            <w:vAlign w:val="center"/>
          </w:tcPr>
          <w:p w:rsidR="00541112" w:rsidRPr="00541112" w:rsidRDefault="00541112" w:rsidP="000C3053">
            <w:pPr>
              <w:jc w:val="center"/>
              <w:rPr>
                <w:rFonts w:ascii="Verdana" w:hAnsi="Verdana" w:cs="Arial"/>
                <w:color w:val="000000"/>
                <w:sz w:val="16"/>
                <w:szCs w:val="16"/>
              </w:rPr>
            </w:pPr>
            <w:r w:rsidRPr="00541112">
              <w:rPr>
                <w:rFonts w:ascii="Verdana" w:hAnsi="Verdana" w:cs="Arial"/>
                <w:color w:val="000000"/>
                <w:sz w:val="16"/>
                <w:szCs w:val="16"/>
              </w:rPr>
              <w:t>4,14</w:t>
            </w:r>
          </w:p>
        </w:tc>
        <w:tc>
          <w:tcPr>
            <w:tcW w:w="844" w:type="dxa"/>
            <w:tcBorders>
              <w:top w:val="single" w:sz="12" w:space="0" w:color="auto"/>
              <w:left w:val="single" w:sz="12" w:space="0" w:color="auto"/>
              <w:bottom w:val="single" w:sz="8" w:space="0" w:color="auto"/>
              <w:right w:val="single" w:sz="8" w:space="0" w:color="auto"/>
            </w:tcBorders>
            <w:shd w:val="clear" w:color="auto" w:fill="FFFFFF"/>
            <w:vAlign w:val="center"/>
          </w:tcPr>
          <w:p w:rsidR="00541112" w:rsidRPr="00541112" w:rsidRDefault="00541112" w:rsidP="000C3053">
            <w:pPr>
              <w:jc w:val="center"/>
              <w:rPr>
                <w:rFonts w:ascii="Verdana" w:hAnsi="Verdana" w:cs="Arial"/>
                <w:color w:val="000000"/>
                <w:sz w:val="16"/>
                <w:szCs w:val="16"/>
              </w:rPr>
            </w:pPr>
            <w:r w:rsidRPr="00541112">
              <w:rPr>
                <w:rFonts w:ascii="Verdana" w:hAnsi="Verdana" w:cs="Arial"/>
                <w:color w:val="000000"/>
                <w:sz w:val="16"/>
                <w:szCs w:val="16"/>
              </w:rPr>
              <w:t>1343</w:t>
            </w:r>
          </w:p>
        </w:tc>
        <w:tc>
          <w:tcPr>
            <w:tcW w:w="698" w:type="dxa"/>
            <w:tcBorders>
              <w:top w:val="single" w:sz="12" w:space="0" w:color="auto"/>
              <w:left w:val="single" w:sz="8" w:space="0" w:color="auto"/>
              <w:bottom w:val="single" w:sz="8" w:space="0" w:color="auto"/>
              <w:right w:val="single" w:sz="12" w:space="0" w:color="auto"/>
            </w:tcBorders>
            <w:shd w:val="clear" w:color="auto" w:fill="FFFFFF"/>
            <w:vAlign w:val="center"/>
          </w:tcPr>
          <w:p w:rsidR="00541112" w:rsidRPr="00541112" w:rsidRDefault="00541112" w:rsidP="000C3053">
            <w:pPr>
              <w:jc w:val="center"/>
              <w:rPr>
                <w:rFonts w:ascii="Verdana" w:hAnsi="Verdana" w:cs="Arial"/>
                <w:color w:val="000000"/>
                <w:sz w:val="16"/>
                <w:szCs w:val="16"/>
              </w:rPr>
            </w:pPr>
            <w:r w:rsidRPr="00541112">
              <w:rPr>
                <w:rFonts w:ascii="Verdana" w:hAnsi="Verdana" w:cs="Arial"/>
                <w:color w:val="000000"/>
                <w:sz w:val="16"/>
                <w:szCs w:val="16"/>
              </w:rPr>
              <w:t>37,57</w:t>
            </w:r>
          </w:p>
        </w:tc>
        <w:tc>
          <w:tcPr>
            <w:tcW w:w="839" w:type="dxa"/>
            <w:tcBorders>
              <w:top w:val="single" w:sz="12" w:space="0" w:color="auto"/>
              <w:left w:val="single" w:sz="12" w:space="0" w:color="auto"/>
              <w:bottom w:val="single" w:sz="8" w:space="0" w:color="auto"/>
              <w:right w:val="single" w:sz="8" w:space="0" w:color="auto"/>
            </w:tcBorders>
            <w:shd w:val="clear" w:color="auto" w:fill="FFFFFF"/>
            <w:vAlign w:val="center"/>
          </w:tcPr>
          <w:p w:rsidR="00541112" w:rsidRPr="00541112" w:rsidRDefault="00541112" w:rsidP="000C3053">
            <w:pPr>
              <w:jc w:val="center"/>
              <w:rPr>
                <w:rFonts w:ascii="Verdana" w:hAnsi="Verdana" w:cs="Arial"/>
                <w:color w:val="000000"/>
                <w:sz w:val="16"/>
                <w:szCs w:val="16"/>
              </w:rPr>
            </w:pPr>
            <w:r w:rsidRPr="00541112">
              <w:rPr>
                <w:rFonts w:ascii="Verdana" w:hAnsi="Verdana" w:cs="Arial"/>
                <w:color w:val="000000"/>
                <w:sz w:val="16"/>
                <w:szCs w:val="16"/>
              </w:rPr>
              <w:t>1953</w:t>
            </w:r>
          </w:p>
        </w:tc>
        <w:tc>
          <w:tcPr>
            <w:tcW w:w="972" w:type="dxa"/>
            <w:tcBorders>
              <w:top w:val="single" w:sz="12" w:space="0" w:color="auto"/>
              <w:left w:val="single" w:sz="8" w:space="0" w:color="auto"/>
              <w:bottom w:val="single" w:sz="8" w:space="0" w:color="auto"/>
              <w:right w:val="single" w:sz="12" w:space="0" w:color="auto"/>
            </w:tcBorders>
            <w:shd w:val="clear" w:color="auto" w:fill="FFFFFF"/>
            <w:vAlign w:val="center"/>
          </w:tcPr>
          <w:p w:rsidR="00541112" w:rsidRPr="00541112" w:rsidRDefault="00541112" w:rsidP="000C3053">
            <w:pPr>
              <w:jc w:val="center"/>
              <w:rPr>
                <w:rFonts w:ascii="Verdana" w:hAnsi="Verdana" w:cs="Arial"/>
                <w:color w:val="000000"/>
                <w:sz w:val="16"/>
                <w:szCs w:val="16"/>
              </w:rPr>
            </w:pPr>
            <w:r w:rsidRPr="00541112">
              <w:rPr>
                <w:rFonts w:ascii="Verdana" w:hAnsi="Verdana" w:cs="Arial"/>
                <w:color w:val="000000"/>
                <w:sz w:val="16"/>
                <w:szCs w:val="16"/>
              </w:rPr>
              <w:t>54,63</w:t>
            </w:r>
          </w:p>
        </w:tc>
        <w:tc>
          <w:tcPr>
            <w:tcW w:w="839" w:type="dxa"/>
            <w:tcBorders>
              <w:top w:val="single" w:sz="12" w:space="0" w:color="auto"/>
              <w:left w:val="single" w:sz="12" w:space="0" w:color="auto"/>
              <w:bottom w:val="single" w:sz="8" w:space="0" w:color="auto"/>
              <w:right w:val="single" w:sz="8" w:space="0" w:color="auto"/>
            </w:tcBorders>
            <w:shd w:val="clear" w:color="auto" w:fill="FFFFFF"/>
            <w:vAlign w:val="center"/>
          </w:tcPr>
          <w:p w:rsidR="00541112" w:rsidRPr="00541112" w:rsidRDefault="00541112" w:rsidP="000C3053">
            <w:pPr>
              <w:jc w:val="center"/>
              <w:rPr>
                <w:rFonts w:ascii="Verdana" w:hAnsi="Verdana" w:cs="Arial"/>
                <w:color w:val="000000"/>
                <w:sz w:val="16"/>
                <w:szCs w:val="16"/>
              </w:rPr>
            </w:pPr>
            <w:r w:rsidRPr="00541112">
              <w:rPr>
                <w:rFonts w:ascii="Verdana" w:hAnsi="Verdana" w:cs="Arial"/>
                <w:color w:val="000000"/>
                <w:sz w:val="16"/>
                <w:szCs w:val="16"/>
              </w:rPr>
              <w:t>131</w:t>
            </w:r>
          </w:p>
        </w:tc>
        <w:tc>
          <w:tcPr>
            <w:tcW w:w="839" w:type="dxa"/>
            <w:tcBorders>
              <w:top w:val="single" w:sz="12" w:space="0" w:color="auto"/>
              <w:left w:val="single" w:sz="8" w:space="0" w:color="auto"/>
              <w:bottom w:val="single" w:sz="8" w:space="0" w:color="auto"/>
              <w:right w:val="single" w:sz="18" w:space="0" w:color="auto"/>
            </w:tcBorders>
            <w:shd w:val="clear" w:color="auto" w:fill="FFFFFF"/>
            <w:vAlign w:val="center"/>
          </w:tcPr>
          <w:p w:rsidR="00541112" w:rsidRPr="00541112" w:rsidRDefault="00541112" w:rsidP="000C3053">
            <w:pPr>
              <w:jc w:val="center"/>
              <w:rPr>
                <w:rFonts w:ascii="Verdana" w:hAnsi="Verdana" w:cs="Arial"/>
                <w:color w:val="000000"/>
                <w:sz w:val="16"/>
                <w:szCs w:val="16"/>
              </w:rPr>
            </w:pPr>
            <w:r w:rsidRPr="00541112">
              <w:rPr>
                <w:rFonts w:ascii="Verdana" w:hAnsi="Verdana" w:cs="Arial"/>
                <w:color w:val="000000"/>
                <w:sz w:val="16"/>
                <w:szCs w:val="16"/>
              </w:rPr>
              <w:t>3,66</w:t>
            </w:r>
          </w:p>
        </w:tc>
      </w:tr>
      <w:tr w:rsidR="00541112" w:rsidRPr="00541112">
        <w:trPr>
          <w:trHeight w:val="255"/>
        </w:trPr>
        <w:tc>
          <w:tcPr>
            <w:tcW w:w="983" w:type="dxa"/>
            <w:tcBorders>
              <w:top w:val="single" w:sz="8" w:space="0" w:color="auto"/>
              <w:left w:val="single" w:sz="18" w:space="0" w:color="auto"/>
              <w:bottom w:val="single" w:sz="18" w:space="0" w:color="auto"/>
              <w:right w:val="single" w:sz="12" w:space="0" w:color="auto"/>
            </w:tcBorders>
            <w:shd w:val="clear" w:color="auto" w:fill="FFFFFF"/>
            <w:vAlign w:val="center"/>
          </w:tcPr>
          <w:p w:rsidR="00541112" w:rsidRPr="00541112" w:rsidRDefault="00541112" w:rsidP="000C3053">
            <w:pPr>
              <w:jc w:val="center"/>
              <w:rPr>
                <w:rFonts w:ascii="Verdana" w:hAnsi="Verdana" w:cs="Arial"/>
                <w:color w:val="FFFFFF"/>
                <w:sz w:val="16"/>
                <w:szCs w:val="16"/>
              </w:rPr>
            </w:pPr>
            <w:r w:rsidRPr="00541112">
              <w:rPr>
                <w:rFonts w:ascii="Verdana" w:hAnsi="Verdana" w:cs="Arial"/>
                <w:color w:val="000000"/>
                <w:sz w:val="16"/>
                <w:szCs w:val="16"/>
              </w:rPr>
              <w:t>Litija</w:t>
            </w:r>
            <w:r w:rsidRPr="00541112">
              <w:rPr>
                <w:rFonts w:ascii="Verdana" w:hAnsi="Verdana" w:cs="Arial"/>
                <w:color w:val="FFFFFF"/>
                <w:sz w:val="16"/>
                <w:szCs w:val="16"/>
              </w:rPr>
              <w:t xml:space="preserve"> .</w:t>
            </w:r>
          </w:p>
        </w:tc>
        <w:tc>
          <w:tcPr>
            <w:tcW w:w="832" w:type="dxa"/>
            <w:tcBorders>
              <w:top w:val="single" w:sz="8" w:space="0" w:color="auto"/>
              <w:left w:val="single" w:sz="12" w:space="0" w:color="auto"/>
              <w:bottom w:val="single" w:sz="18" w:space="0" w:color="auto"/>
              <w:right w:val="single" w:sz="8" w:space="0" w:color="auto"/>
            </w:tcBorders>
            <w:shd w:val="clear" w:color="auto" w:fill="FFFFFF"/>
            <w:vAlign w:val="center"/>
          </w:tcPr>
          <w:p w:rsidR="00541112" w:rsidRPr="00541112" w:rsidRDefault="00541112" w:rsidP="000C3053">
            <w:pPr>
              <w:jc w:val="center"/>
              <w:rPr>
                <w:rFonts w:ascii="Verdana" w:hAnsi="Verdana" w:cs="Arial"/>
                <w:color w:val="000000"/>
                <w:sz w:val="16"/>
                <w:szCs w:val="16"/>
              </w:rPr>
            </w:pPr>
            <w:r w:rsidRPr="00541112">
              <w:rPr>
                <w:rFonts w:ascii="Verdana" w:hAnsi="Verdana" w:cs="Arial"/>
                <w:color w:val="000000"/>
                <w:sz w:val="16"/>
                <w:szCs w:val="16"/>
              </w:rPr>
              <w:t>8147</w:t>
            </w:r>
          </w:p>
        </w:tc>
        <w:tc>
          <w:tcPr>
            <w:tcW w:w="720" w:type="dxa"/>
            <w:tcBorders>
              <w:top w:val="single" w:sz="8" w:space="0" w:color="auto"/>
              <w:left w:val="single" w:sz="8" w:space="0" w:color="auto"/>
              <w:bottom w:val="single" w:sz="18" w:space="0" w:color="auto"/>
              <w:right w:val="single" w:sz="12" w:space="0" w:color="auto"/>
            </w:tcBorders>
            <w:shd w:val="clear" w:color="auto" w:fill="FFFFFF"/>
            <w:vAlign w:val="center"/>
          </w:tcPr>
          <w:p w:rsidR="00541112" w:rsidRPr="00541112" w:rsidRDefault="00541112" w:rsidP="000C3053">
            <w:pPr>
              <w:jc w:val="center"/>
              <w:rPr>
                <w:rFonts w:ascii="Verdana" w:hAnsi="Verdana" w:cs="Arial"/>
                <w:color w:val="000000"/>
                <w:sz w:val="16"/>
                <w:szCs w:val="16"/>
              </w:rPr>
            </w:pPr>
            <w:r w:rsidRPr="00541112">
              <w:rPr>
                <w:rFonts w:ascii="Verdana" w:hAnsi="Verdana" w:cs="Arial"/>
                <w:color w:val="000000"/>
                <w:sz w:val="16"/>
                <w:szCs w:val="16"/>
              </w:rPr>
              <w:t>100,00</w:t>
            </w:r>
          </w:p>
        </w:tc>
        <w:tc>
          <w:tcPr>
            <w:tcW w:w="833" w:type="dxa"/>
            <w:tcBorders>
              <w:top w:val="single" w:sz="8" w:space="0" w:color="auto"/>
              <w:left w:val="single" w:sz="12" w:space="0" w:color="auto"/>
              <w:bottom w:val="single" w:sz="18" w:space="0" w:color="auto"/>
              <w:right w:val="single" w:sz="8" w:space="0" w:color="auto"/>
            </w:tcBorders>
            <w:shd w:val="clear" w:color="auto" w:fill="FFFFFF"/>
            <w:vAlign w:val="center"/>
          </w:tcPr>
          <w:p w:rsidR="00541112" w:rsidRPr="00541112" w:rsidRDefault="00541112" w:rsidP="000C3053">
            <w:pPr>
              <w:jc w:val="center"/>
              <w:rPr>
                <w:rFonts w:ascii="Verdana" w:hAnsi="Verdana" w:cs="Arial"/>
                <w:color w:val="000000"/>
                <w:sz w:val="16"/>
                <w:szCs w:val="16"/>
              </w:rPr>
            </w:pPr>
            <w:r w:rsidRPr="00541112">
              <w:rPr>
                <w:rFonts w:ascii="Verdana" w:hAnsi="Verdana" w:cs="Arial"/>
                <w:color w:val="000000"/>
                <w:sz w:val="16"/>
                <w:szCs w:val="16"/>
              </w:rPr>
              <w:t>359</w:t>
            </w:r>
          </w:p>
        </w:tc>
        <w:tc>
          <w:tcPr>
            <w:tcW w:w="843" w:type="dxa"/>
            <w:tcBorders>
              <w:top w:val="single" w:sz="8" w:space="0" w:color="auto"/>
              <w:left w:val="single" w:sz="8" w:space="0" w:color="auto"/>
              <w:bottom w:val="single" w:sz="18" w:space="0" w:color="auto"/>
              <w:right w:val="single" w:sz="12" w:space="0" w:color="auto"/>
            </w:tcBorders>
            <w:shd w:val="clear" w:color="auto" w:fill="FFFFFF"/>
            <w:vAlign w:val="center"/>
          </w:tcPr>
          <w:p w:rsidR="00541112" w:rsidRPr="00541112" w:rsidRDefault="00541112" w:rsidP="000C3053">
            <w:pPr>
              <w:jc w:val="center"/>
              <w:rPr>
                <w:rFonts w:ascii="Verdana" w:hAnsi="Verdana" w:cs="Arial"/>
                <w:color w:val="000000"/>
                <w:sz w:val="16"/>
                <w:szCs w:val="16"/>
              </w:rPr>
            </w:pPr>
            <w:r w:rsidRPr="00541112">
              <w:rPr>
                <w:rFonts w:ascii="Verdana" w:hAnsi="Verdana" w:cs="Arial"/>
                <w:color w:val="000000"/>
                <w:sz w:val="16"/>
                <w:szCs w:val="16"/>
              </w:rPr>
              <w:t>4,41</w:t>
            </w:r>
          </w:p>
        </w:tc>
        <w:tc>
          <w:tcPr>
            <w:tcW w:w="844" w:type="dxa"/>
            <w:tcBorders>
              <w:top w:val="single" w:sz="8" w:space="0" w:color="auto"/>
              <w:left w:val="single" w:sz="12" w:space="0" w:color="auto"/>
              <w:bottom w:val="single" w:sz="18" w:space="0" w:color="auto"/>
              <w:right w:val="single" w:sz="8" w:space="0" w:color="auto"/>
            </w:tcBorders>
            <w:shd w:val="clear" w:color="auto" w:fill="FFFFFF"/>
            <w:vAlign w:val="center"/>
          </w:tcPr>
          <w:p w:rsidR="00541112" w:rsidRPr="00541112" w:rsidRDefault="00541112" w:rsidP="000C3053">
            <w:pPr>
              <w:jc w:val="center"/>
              <w:rPr>
                <w:rFonts w:ascii="Verdana" w:hAnsi="Verdana" w:cs="Arial"/>
                <w:color w:val="000000"/>
                <w:sz w:val="16"/>
                <w:szCs w:val="16"/>
              </w:rPr>
            </w:pPr>
            <w:r w:rsidRPr="00541112">
              <w:rPr>
                <w:rFonts w:ascii="Verdana" w:hAnsi="Verdana" w:cs="Arial"/>
                <w:color w:val="000000"/>
                <w:sz w:val="16"/>
                <w:szCs w:val="16"/>
              </w:rPr>
              <w:t>3148</w:t>
            </w:r>
          </w:p>
        </w:tc>
        <w:tc>
          <w:tcPr>
            <w:tcW w:w="698" w:type="dxa"/>
            <w:tcBorders>
              <w:top w:val="single" w:sz="8" w:space="0" w:color="auto"/>
              <w:left w:val="single" w:sz="8" w:space="0" w:color="auto"/>
              <w:bottom w:val="single" w:sz="18" w:space="0" w:color="auto"/>
              <w:right w:val="single" w:sz="12" w:space="0" w:color="auto"/>
            </w:tcBorders>
            <w:shd w:val="clear" w:color="auto" w:fill="FFFFFF"/>
            <w:vAlign w:val="center"/>
          </w:tcPr>
          <w:p w:rsidR="00541112" w:rsidRPr="00541112" w:rsidRDefault="00541112" w:rsidP="000C3053">
            <w:pPr>
              <w:jc w:val="center"/>
              <w:rPr>
                <w:rFonts w:ascii="Verdana" w:hAnsi="Verdana" w:cs="Arial"/>
                <w:color w:val="000000"/>
                <w:sz w:val="16"/>
                <w:szCs w:val="16"/>
              </w:rPr>
            </w:pPr>
            <w:r w:rsidRPr="00541112">
              <w:rPr>
                <w:rFonts w:ascii="Verdana" w:hAnsi="Verdana" w:cs="Arial"/>
                <w:color w:val="000000"/>
                <w:sz w:val="16"/>
                <w:szCs w:val="16"/>
              </w:rPr>
              <w:t>38,64</w:t>
            </w:r>
          </w:p>
        </w:tc>
        <w:tc>
          <w:tcPr>
            <w:tcW w:w="839" w:type="dxa"/>
            <w:tcBorders>
              <w:top w:val="single" w:sz="8" w:space="0" w:color="auto"/>
              <w:left w:val="single" w:sz="12" w:space="0" w:color="auto"/>
              <w:bottom w:val="single" w:sz="18" w:space="0" w:color="auto"/>
              <w:right w:val="single" w:sz="8" w:space="0" w:color="auto"/>
            </w:tcBorders>
            <w:shd w:val="clear" w:color="auto" w:fill="FFFFFF"/>
            <w:vAlign w:val="center"/>
          </w:tcPr>
          <w:p w:rsidR="00541112" w:rsidRPr="00541112" w:rsidRDefault="00541112" w:rsidP="000C3053">
            <w:pPr>
              <w:jc w:val="center"/>
              <w:rPr>
                <w:rFonts w:ascii="Verdana" w:hAnsi="Verdana" w:cs="Arial"/>
                <w:color w:val="000000"/>
                <w:sz w:val="16"/>
                <w:szCs w:val="16"/>
              </w:rPr>
            </w:pPr>
            <w:r w:rsidRPr="00541112">
              <w:rPr>
                <w:rFonts w:ascii="Verdana" w:hAnsi="Verdana" w:cs="Arial"/>
                <w:color w:val="000000"/>
                <w:sz w:val="16"/>
                <w:szCs w:val="16"/>
              </w:rPr>
              <w:t>4394</w:t>
            </w:r>
          </w:p>
        </w:tc>
        <w:tc>
          <w:tcPr>
            <w:tcW w:w="972" w:type="dxa"/>
            <w:tcBorders>
              <w:top w:val="single" w:sz="8" w:space="0" w:color="auto"/>
              <w:left w:val="single" w:sz="8" w:space="0" w:color="auto"/>
              <w:bottom w:val="single" w:sz="18" w:space="0" w:color="auto"/>
              <w:right w:val="single" w:sz="12" w:space="0" w:color="auto"/>
            </w:tcBorders>
            <w:shd w:val="clear" w:color="auto" w:fill="FFFFFF"/>
            <w:vAlign w:val="center"/>
          </w:tcPr>
          <w:p w:rsidR="00541112" w:rsidRPr="00541112" w:rsidRDefault="00541112" w:rsidP="000C3053">
            <w:pPr>
              <w:jc w:val="center"/>
              <w:rPr>
                <w:rFonts w:ascii="Verdana" w:hAnsi="Verdana" w:cs="Arial"/>
                <w:color w:val="000000"/>
                <w:sz w:val="16"/>
                <w:szCs w:val="16"/>
              </w:rPr>
            </w:pPr>
            <w:r w:rsidRPr="00541112">
              <w:rPr>
                <w:rFonts w:ascii="Verdana" w:hAnsi="Verdana" w:cs="Arial"/>
                <w:color w:val="000000"/>
                <w:sz w:val="16"/>
                <w:szCs w:val="16"/>
              </w:rPr>
              <w:t>53,93</w:t>
            </w:r>
          </w:p>
        </w:tc>
        <w:tc>
          <w:tcPr>
            <w:tcW w:w="839" w:type="dxa"/>
            <w:tcBorders>
              <w:top w:val="single" w:sz="8" w:space="0" w:color="auto"/>
              <w:left w:val="single" w:sz="12" w:space="0" w:color="auto"/>
              <w:bottom w:val="single" w:sz="18" w:space="0" w:color="auto"/>
              <w:right w:val="single" w:sz="8" w:space="0" w:color="auto"/>
            </w:tcBorders>
            <w:shd w:val="clear" w:color="auto" w:fill="FFFFFF"/>
            <w:vAlign w:val="center"/>
          </w:tcPr>
          <w:p w:rsidR="00541112" w:rsidRPr="00541112" w:rsidRDefault="00541112" w:rsidP="000C3053">
            <w:pPr>
              <w:jc w:val="center"/>
              <w:rPr>
                <w:rFonts w:ascii="Verdana" w:hAnsi="Verdana" w:cs="Arial"/>
                <w:color w:val="000000"/>
                <w:sz w:val="16"/>
                <w:szCs w:val="16"/>
              </w:rPr>
            </w:pPr>
            <w:r w:rsidRPr="00541112">
              <w:rPr>
                <w:rFonts w:ascii="Verdana" w:hAnsi="Verdana" w:cs="Arial"/>
                <w:color w:val="000000"/>
                <w:sz w:val="16"/>
                <w:szCs w:val="16"/>
              </w:rPr>
              <w:t>246</w:t>
            </w:r>
          </w:p>
        </w:tc>
        <w:tc>
          <w:tcPr>
            <w:tcW w:w="839" w:type="dxa"/>
            <w:tcBorders>
              <w:top w:val="single" w:sz="8" w:space="0" w:color="auto"/>
              <w:left w:val="single" w:sz="8" w:space="0" w:color="auto"/>
              <w:bottom w:val="single" w:sz="18" w:space="0" w:color="auto"/>
              <w:right w:val="single" w:sz="18" w:space="0" w:color="auto"/>
            </w:tcBorders>
            <w:shd w:val="clear" w:color="auto" w:fill="FFFFFF"/>
            <w:vAlign w:val="center"/>
          </w:tcPr>
          <w:p w:rsidR="00541112" w:rsidRPr="00541112" w:rsidRDefault="00541112" w:rsidP="000C3053">
            <w:pPr>
              <w:jc w:val="center"/>
              <w:rPr>
                <w:rFonts w:ascii="Verdana" w:hAnsi="Verdana" w:cs="Arial"/>
                <w:color w:val="000000"/>
                <w:sz w:val="16"/>
                <w:szCs w:val="16"/>
              </w:rPr>
            </w:pPr>
            <w:r w:rsidRPr="00541112">
              <w:rPr>
                <w:rFonts w:ascii="Verdana" w:hAnsi="Verdana" w:cs="Arial"/>
                <w:color w:val="000000"/>
                <w:sz w:val="16"/>
                <w:szCs w:val="16"/>
              </w:rPr>
              <w:t>3,02</w:t>
            </w:r>
          </w:p>
        </w:tc>
      </w:tr>
      <w:tr w:rsidR="00541112" w:rsidRPr="00541112">
        <w:trPr>
          <w:trHeight w:val="255"/>
        </w:trPr>
        <w:tc>
          <w:tcPr>
            <w:tcW w:w="983" w:type="dxa"/>
            <w:tcBorders>
              <w:top w:val="single" w:sz="18" w:space="0" w:color="auto"/>
              <w:left w:val="single" w:sz="18" w:space="0" w:color="auto"/>
              <w:bottom w:val="single" w:sz="18" w:space="0" w:color="auto"/>
              <w:right w:val="single" w:sz="12" w:space="0" w:color="auto"/>
            </w:tcBorders>
            <w:shd w:val="clear" w:color="auto" w:fill="FFFFFF"/>
            <w:vAlign w:val="center"/>
          </w:tcPr>
          <w:p w:rsidR="00541112" w:rsidRPr="00541112" w:rsidRDefault="00541112" w:rsidP="000C3053">
            <w:pPr>
              <w:jc w:val="center"/>
              <w:rPr>
                <w:rFonts w:ascii="Verdana" w:hAnsi="Verdana" w:cs="Arial"/>
                <w:color w:val="000000"/>
                <w:sz w:val="16"/>
                <w:szCs w:val="16"/>
              </w:rPr>
            </w:pPr>
            <w:r w:rsidRPr="00541112">
              <w:rPr>
                <w:rFonts w:ascii="Verdana" w:hAnsi="Verdana" w:cs="Arial"/>
                <w:b/>
                <w:color w:val="000000"/>
                <w:sz w:val="16"/>
                <w:szCs w:val="16"/>
              </w:rPr>
              <w:t>Slovenija</w:t>
            </w:r>
            <w:r w:rsidRPr="00541112">
              <w:rPr>
                <w:rFonts w:ascii="Verdana" w:hAnsi="Verdana" w:cs="Arial"/>
                <w:color w:val="FFFFFF"/>
                <w:sz w:val="16"/>
                <w:szCs w:val="16"/>
              </w:rPr>
              <w:t>.</w:t>
            </w:r>
          </w:p>
        </w:tc>
        <w:tc>
          <w:tcPr>
            <w:tcW w:w="832" w:type="dxa"/>
            <w:tcBorders>
              <w:top w:val="single" w:sz="18" w:space="0" w:color="auto"/>
              <w:left w:val="single" w:sz="12" w:space="0" w:color="auto"/>
              <w:bottom w:val="single" w:sz="18" w:space="0" w:color="auto"/>
              <w:right w:val="single" w:sz="8" w:space="0" w:color="auto"/>
            </w:tcBorders>
            <w:shd w:val="clear" w:color="auto" w:fill="FFFFFF"/>
            <w:vAlign w:val="center"/>
          </w:tcPr>
          <w:p w:rsidR="00541112" w:rsidRPr="00541112" w:rsidRDefault="00541112" w:rsidP="000C3053">
            <w:pPr>
              <w:jc w:val="center"/>
              <w:rPr>
                <w:rFonts w:ascii="Verdana" w:hAnsi="Verdana" w:cs="Arial"/>
                <w:color w:val="000000"/>
                <w:sz w:val="16"/>
                <w:szCs w:val="16"/>
              </w:rPr>
            </w:pPr>
            <w:r w:rsidRPr="00541112">
              <w:rPr>
                <w:rFonts w:ascii="Verdana" w:hAnsi="Verdana" w:cs="Arial"/>
                <w:color w:val="000000"/>
                <w:sz w:val="16"/>
                <w:szCs w:val="16"/>
              </w:rPr>
              <w:t>818304</w:t>
            </w:r>
          </w:p>
        </w:tc>
        <w:tc>
          <w:tcPr>
            <w:tcW w:w="720" w:type="dxa"/>
            <w:tcBorders>
              <w:top w:val="single" w:sz="18" w:space="0" w:color="auto"/>
              <w:left w:val="single" w:sz="8" w:space="0" w:color="auto"/>
              <w:bottom w:val="single" w:sz="18" w:space="0" w:color="auto"/>
              <w:right w:val="single" w:sz="12" w:space="0" w:color="auto"/>
            </w:tcBorders>
            <w:shd w:val="clear" w:color="auto" w:fill="FFFFFF"/>
            <w:vAlign w:val="center"/>
          </w:tcPr>
          <w:p w:rsidR="00541112" w:rsidRPr="00541112" w:rsidRDefault="00541112" w:rsidP="000C3053">
            <w:pPr>
              <w:jc w:val="center"/>
              <w:rPr>
                <w:rFonts w:ascii="Verdana" w:hAnsi="Verdana" w:cs="Arial"/>
                <w:color w:val="000000"/>
                <w:sz w:val="16"/>
                <w:szCs w:val="16"/>
              </w:rPr>
            </w:pPr>
            <w:r w:rsidRPr="00541112">
              <w:rPr>
                <w:rFonts w:ascii="Verdana" w:hAnsi="Verdana" w:cs="Arial"/>
                <w:color w:val="000000"/>
                <w:sz w:val="16"/>
                <w:szCs w:val="16"/>
              </w:rPr>
              <w:t>100,00</w:t>
            </w:r>
          </w:p>
        </w:tc>
        <w:tc>
          <w:tcPr>
            <w:tcW w:w="833" w:type="dxa"/>
            <w:tcBorders>
              <w:top w:val="single" w:sz="18" w:space="0" w:color="auto"/>
              <w:left w:val="single" w:sz="12" w:space="0" w:color="auto"/>
              <w:bottom w:val="single" w:sz="18" w:space="0" w:color="auto"/>
              <w:right w:val="single" w:sz="8" w:space="0" w:color="auto"/>
            </w:tcBorders>
            <w:shd w:val="clear" w:color="auto" w:fill="FFFFFF"/>
            <w:vAlign w:val="center"/>
          </w:tcPr>
          <w:p w:rsidR="00541112" w:rsidRPr="00541112" w:rsidRDefault="00541112" w:rsidP="000C3053">
            <w:pPr>
              <w:jc w:val="center"/>
              <w:rPr>
                <w:rFonts w:ascii="Verdana" w:hAnsi="Verdana" w:cs="Arial"/>
                <w:color w:val="000000"/>
                <w:sz w:val="16"/>
                <w:szCs w:val="16"/>
              </w:rPr>
            </w:pPr>
            <w:r w:rsidRPr="00541112">
              <w:rPr>
                <w:rFonts w:ascii="Verdana" w:hAnsi="Verdana" w:cs="Arial"/>
                <w:color w:val="000000"/>
                <w:sz w:val="16"/>
                <w:szCs w:val="16"/>
              </w:rPr>
              <w:t>32649</w:t>
            </w:r>
          </w:p>
        </w:tc>
        <w:tc>
          <w:tcPr>
            <w:tcW w:w="843" w:type="dxa"/>
            <w:tcBorders>
              <w:top w:val="single" w:sz="18" w:space="0" w:color="auto"/>
              <w:left w:val="single" w:sz="8" w:space="0" w:color="auto"/>
              <w:bottom w:val="single" w:sz="18" w:space="0" w:color="auto"/>
              <w:right w:val="single" w:sz="12" w:space="0" w:color="auto"/>
            </w:tcBorders>
            <w:shd w:val="clear" w:color="auto" w:fill="FFFFFF"/>
            <w:vAlign w:val="center"/>
          </w:tcPr>
          <w:p w:rsidR="00541112" w:rsidRPr="00541112" w:rsidRDefault="00541112" w:rsidP="000C3053">
            <w:pPr>
              <w:jc w:val="center"/>
              <w:rPr>
                <w:rFonts w:ascii="Verdana" w:hAnsi="Verdana" w:cs="Arial"/>
                <w:color w:val="000000"/>
                <w:sz w:val="16"/>
                <w:szCs w:val="16"/>
              </w:rPr>
            </w:pPr>
            <w:r w:rsidRPr="00541112">
              <w:rPr>
                <w:rFonts w:ascii="Verdana" w:hAnsi="Verdana" w:cs="Arial"/>
                <w:color w:val="000000"/>
                <w:sz w:val="16"/>
                <w:szCs w:val="16"/>
              </w:rPr>
              <w:t>3,99</w:t>
            </w:r>
          </w:p>
        </w:tc>
        <w:tc>
          <w:tcPr>
            <w:tcW w:w="844" w:type="dxa"/>
            <w:tcBorders>
              <w:top w:val="single" w:sz="18" w:space="0" w:color="auto"/>
              <w:left w:val="single" w:sz="12" w:space="0" w:color="auto"/>
              <w:bottom w:val="single" w:sz="18" w:space="0" w:color="auto"/>
              <w:right w:val="single" w:sz="8" w:space="0" w:color="auto"/>
            </w:tcBorders>
            <w:shd w:val="clear" w:color="auto" w:fill="FFFFFF"/>
            <w:vAlign w:val="center"/>
          </w:tcPr>
          <w:p w:rsidR="00541112" w:rsidRPr="00541112" w:rsidRDefault="00541112" w:rsidP="000C3053">
            <w:pPr>
              <w:jc w:val="center"/>
              <w:rPr>
                <w:rFonts w:ascii="Verdana" w:hAnsi="Verdana" w:cs="Arial"/>
                <w:color w:val="000000"/>
                <w:sz w:val="16"/>
                <w:szCs w:val="16"/>
              </w:rPr>
            </w:pPr>
            <w:r w:rsidRPr="00541112">
              <w:rPr>
                <w:rFonts w:ascii="Verdana" w:hAnsi="Verdana" w:cs="Arial"/>
                <w:color w:val="000000"/>
                <w:sz w:val="16"/>
                <w:szCs w:val="16"/>
              </w:rPr>
              <w:t>311180</w:t>
            </w:r>
          </w:p>
        </w:tc>
        <w:tc>
          <w:tcPr>
            <w:tcW w:w="698" w:type="dxa"/>
            <w:tcBorders>
              <w:top w:val="single" w:sz="18" w:space="0" w:color="auto"/>
              <w:left w:val="single" w:sz="8" w:space="0" w:color="auto"/>
              <w:bottom w:val="single" w:sz="18" w:space="0" w:color="auto"/>
              <w:right w:val="single" w:sz="12" w:space="0" w:color="auto"/>
            </w:tcBorders>
            <w:shd w:val="clear" w:color="auto" w:fill="FFFFFF"/>
            <w:vAlign w:val="center"/>
          </w:tcPr>
          <w:p w:rsidR="00541112" w:rsidRPr="00541112" w:rsidRDefault="00541112" w:rsidP="000C3053">
            <w:pPr>
              <w:jc w:val="center"/>
              <w:rPr>
                <w:rFonts w:ascii="Verdana" w:hAnsi="Verdana" w:cs="Arial"/>
                <w:color w:val="000000"/>
                <w:sz w:val="16"/>
                <w:szCs w:val="16"/>
              </w:rPr>
            </w:pPr>
            <w:r w:rsidRPr="00541112">
              <w:rPr>
                <w:rFonts w:ascii="Verdana" w:hAnsi="Verdana" w:cs="Arial"/>
                <w:color w:val="000000"/>
                <w:sz w:val="16"/>
                <w:szCs w:val="16"/>
              </w:rPr>
              <w:t>38,03</w:t>
            </w:r>
          </w:p>
        </w:tc>
        <w:tc>
          <w:tcPr>
            <w:tcW w:w="839" w:type="dxa"/>
            <w:tcBorders>
              <w:top w:val="single" w:sz="18" w:space="0" w:color="auto"/>
              <w:left w:val="single" w:sz="12" w:space="0" w:color="auto"/>
              <w:bottom w:val="single" w:sz="18" w:space="0" w:color="auto"/>
              <w:right w:val="single" w:sz="8" w:space="0" w:color="auto"/>
            </w:tcBorders>
            <w:shd w:val="clear" w:color="auto" w:fill="FFFFFF"/>
            <w:vAlign w:val="center"/>
          </w:tcPr>
          <w:p w:rsidR="00541112" w:rsidRPr="00541112" w:rsidRDefault="00541112" w:rsidP="000C3053">
            <w:pPr>
              <w:jc w:val="center"/>
              <w:rPr>
                <w:rFonts w:ascii="Verdana" w:hAnsi="Verdana" w:cs="Arial"/>
                <w:color w:val="000000"/>
                <w:sz w:val="16"/>
                <w:szCs w:val="16"/>
              </w:rPr>
            </w:pPr>
            <w:r w:rsidRPr="00541112">
              <w:rPr>
                <w:rFonts w:ascii="Verdana" w:hAnsi="Verdana" w:cs="Arial"/>
                <w:color w:val="000000"/>
                <w:sz w:val="16"/>
                <w:szCs w:val="16"/>
              </w:rPr>
              <w:t>431494</w:t>
            </w:r>
          </w:p>
        </w:tc>
        <w:tc>
          <w:tcPr>
            <w:tcW w:w="972" w:type="dxa"/>
            <w:tcBorders>
              <w:top w:val="single" w:sz="18" w:space="0" w:color="auto"/>
              <w:left w:val="single" w:sz="8" w:space="0" w:color="auto"/>
              <w:bottom w:val="single" w:sz="18" w:space="0" w:color="auto"/>
              <w:right w:val="single" w:sz="12" w:space="0" w:color="auto"/>
            </w:tcBorders>
            <w:shd w:val="clear" w:color="auto" w:fill="FFFFFF"/>
            <w:vAlign w:val="center"/>
          </w:tcPr>
          <w:p w:rsidR="00541112" w:rsidRPr="00541112" w:rsidRDefault="00541112" w:rsidP="000C3053">
            <w:pPr>
              <w:jc w:val="center"/>
              <w:rPr>
                <w:rFonts w:ascii="Verdana" w:hAnsi="Verdana" w:cs="Arial"/>
                <w:color w:val="000000"/>
                <w:sz w:val="16"/>
                <w:szCs w:val="16"/>
              </w:rPr>
            </w:pPr>
            <w:r w:rsidRPr="00541112">
              <w:rPr>
                <w:rFonts w:ascii="Verdana" w:hAnsi="Verdana" w:cs="Arial"/>
                <w:color w:val="000000"/>
                <w:sz w:val="16"/>
                <w:szCs w:val="16"/>
              </w:rPr>
              <w:t>52,73</w:t>
            </w:r>
          </w:p>
        </w:tc>
        <w:tc>
          <w:tcPr>
            <w:tcW w:w="839" w:type="dxa"/>
            <w:tcBorders>
              <w:top w:val="single" w:sz="18" w:space="0" w:color="auto"/>
              <w:left w:val="single" w:sz="12" w:space="0" w:color="auto"/>
              <w:bottom w:val="single" w:sz="18" w:space="0" w:color="auto"/>
              <w:right w:val="single" w:sz="8" w:space="0" w:color="auto"/>
            </w:tcBorders>
            <w:shd w:val="clear" w:color="auto" w:fill="FFFFFF"/>
            <w:vAlign w:val="center"/>
          </w:tcPr>
          <w:p w:rsidR="00541112" w:rsidRPr="00541112" w:rsidRDefault="00541112" w:rsidP="000C3053">
            <w:pPr>
              <w:jc w:val="center"/>
              <w:rPr>
                <w:rFonts w:ascii="Verdana" w:hAnsi="Verdana" w:cs="Arial"/>
                <w:color w:val="000000"/>
                <w:sz w:val="16"/>
                <w:szCs w:val="16"/>
              </w:rPr>
            </w:pPr>
            <w:r w:rsidRPr="00541112">
              <w:rPr>
                <w:rFonts w:ascii="Verdana" w:hAnsi="Verdana" w:cs="Arial"/>
                <w:color w:val="000000"/>
                <w:sz w:val="16"/>
                <w:szCs w:val="16"/>
              </w:rPr>
              <w:t>42981</w:t>
            </w:r>
          </w:p>
        </w:tc>
        <w:tc>
          <w:tcPr>
            <w:tcW w:w="839" w:type="dxa"/>
            <w:tcBorders>
              <w:top w:val="single" w:sz="18" w:space="0" w:color="auto"/>
              <w:left w:val="single" w:sz="8" w:space="0" w:color="auto"/>
              <w:bottom w:val="single" w:sz="18" w:space="0" w:color="auto"/>
              <w:right w:val="single" w:sz="18" w:space="0" w:color="auto"/>
            </w:tcBorders>
            <w:shd w:val="clear" w:color="auto" w:fill="FFFFFF"/>
            <w:vAlign w:val="center"/>
          </w:tcPr>
          <w:p w:rsidR="00541112" w:rsidRPr="00541112" w:rsidRDefault="00541112" w:rsidP="000C3053">
            <w:pPr>
              <w:jc w:val="center"/>
              <w:rPr>
                <w:rFonts w:ascii="Verdana" w:hAnsi="Verdana" w:cs="Arial"/>
                <w:color w:val="000000"/>
                <w:sz w:val="16"/>
                <w:szCs w:val="16"/>
              </w:rPr>
            </w:pPr>
            <w:r w:rsidRPr="00541112">
              <w:rPr>
                <w:rFonts w:ascii="Verdana" w:hAnsi="Verdana" w:cs="Arial"/>
                <w:color w:val="000000"/>
                <w:sz w:val="16"/>
                <w:szCs w:val="16"/>
              </w:rPr>
              <w:t>5,25</w:t>
            </w:r>
          </w:p>
        </w:tc>
      </w:tr>
    </w:tbl>
    <w:p w:rsidR="00541112" w:rsidRPr="00541112" w:rsidRDefault="00541112" w:rsidP="00541112">
      <w:pPr>
        <w:rPr>
          <w:rFonts w:ascii="Verdana" w:hAnsi="Verdana"/>
          <w:sz w:val="16"/>
          <w:szCs w:val="16"/>
        </w:rPr>
      </w:pPr>
      <w:r w:rsidRPr="00541112">
        <w:rPr>
          <w:rFonts w:ascii="Verdana" w:hAnsi="Verdana"/>
          <w:b/>
          <w:sz w:val="16"/>
          <w:szCs w:val="16"/>
        </w:rPr>
        <w:t>Tabela 1:</w:t>
      </w:r>
      <w:r w:rsidRPr="00541112">
        <w:rPr>
          <w:rFonts w:ascii="Verdana" w:hAnsi="Verdana"/>
          <w:sz w:val="16"/>
          <w:szCs w:val="16"/>
        </w:rPr>
        <w:t xml:space="preserve"> Delovno aktivno prebivalstvo po skupinah dejavnosti ob popisu 2002, vir: </w:t>
      </w:r>
      <w:hyperlink r:id="rId17" w:history="1">
        <w:r w:rsidRPr="00541112">
          <w:rPr>
            <w:rStyle w:val="Hyperlink"/>
            <w:rFonts w:ascii="Verdana" w:hAnsi="Verdana"/>
            <w:sz w:val="16"/>
            <w:szCs w:val="16"/>
          </w:rPr>
          <w:t>www.stat.si</w:t>
        </w:r>
      </w:hyperlink>
    </w:p>
    <w:p w:rsidR="00122A12" w:rsidRDefault="00122A12" w:rsidP="00122A12">
      <w:pPr>
        <w:jc w:val="both"/>
      </w:pPr>
    </w:p>
    <w:p w:rsidR="00541112" w:rsidRDefault="00541112" w:rsidP="00122A12">
      <w:pPr>
        <w:jc w:val="both"/>
      </w:pPr>
      <w:r>
        <w:t xml:space="preserve">Občina Ribnica je imela po podatkih popisa 9266 prebivalcev, od tega jih je bilo 3575 delovno aktivnih kar predstavlja 38,58 % vseh prebivalcev občine, </w:t>
      </w:r>
      <w:r w:rsidR="008E155A">
        <w:t>občina Litija je imela 8147 delovno aktivnih prebivalcev (42,61 %), v celotni Sloveniji pa je bilo delovno aktivnih 818.304 prebivalcev (41,66 %). Glavni razlog za manjšo delovno aktivnost prebivalstva v občini Ribnica gre iskati v nekoliko višjem deležu mladega prebivalstva (pod 15 let) in posledično nižjem de</w:t>
      </w:r>
      <w:r w:rsidR="00037B9A">
        <w:t>ležu zrelega prebivalstva (15-65</w:t>
      </w:r>
      <w:r w:rsidR="008E155A">
        <w:t xml:space="preserve"> let). </w:t>
      </w:r>
    </w:p>
    <w:p w:rsidR="00037B9A" w:rsidRDefault="00037B9A" w:rsidP="00122A12">
      <w:pPr>
        <w:jc w:val="both"/>
      </w:pPr>
    </w:p>
    <w:p w:rsidR="00037B9A" w:rsidRDefault="00037B9A" w:rsidP="00122A12">
      <w:pPr>
        <w:jc w:val="both"/>
      </w:pPr>
      <w:r>
        <w:t xml:space="preserve">Ob popisu 2002 je bil največji del prebivalstva zaposlen v storitvenih dejavnostih (terciarne in kvartarne dejavnosti). V celotni Sloveniji je bilo v teh dejavnostih zaposlenih 431.494 ljudi (52,73 % vseh delovno aktivnih prebivalcev), v občini Ribnica 1953 (54,63 %), v občini Litija pa 4394 prebivalcev (53,93 %). Nekoč zelo agrarna Slovenija je z odpiranjem industrijskih obratov v 20. stoletju postajala čedalje bolj neagrarna država. Ob popisu 2002 je bilo </w:t>
      </w:r>
      <w:r w:rsidR="008A4BF2">
        <w:t xml:space="preserve">tako le še </w:t>
      </w:r>
      <w:r>
        <w:t xml:space="preserve">32649 prebivalcev Slovenije (3,99 % vseh delovno aktivnih), ki so se ukvarjali z kmetijskimi dejavnostmi, v občini Ribnica je bil ta delež 4,14 %, v občini Litija pa </w:t>
      </w:r>
      <w:r w:rsidR="004D6502">
        <w:t xml:space="preserve">4,41 %. Tudi v prihodnosti se pričakuje zniževanje števila kmetov. Predvsem velja omeniti, da se veliko prebivalcev ukvarja s kmetijstvom </w:t>
      </w:r>
      <w:r w:rsidR="008A4BF2">
        <w:t xml:space="preserve">predvsem kot dopolnilno dejavnostjo in jim zato ne predstavlja glavni vir preživetja. </w:t>
      </w:r>
      <w:r w:rsidR="004D6502">
        <w:t xml:space="preserve"> </w:t>
      </w:r>
    </w:p>
    <w:p w:rsidR="004D6502" w:rsidRDefault="004D6502" w:rsidP="00122A12">
      <w:pPr>
        <w:jc w:val="both"/>
      </w:pPr>
    </w:p>
    <w:p w:rsidR="004D6502" w:rsidRDefault="004D6502" w:rsidP="00122A12">
      <w:pPr>
        <w:jc w:val="both"/>
      </w:pPr>
      <w:r>
        <w:t xml:space="preserve">V </w:t>
      </w:r>
      <w:smartTag w:uri="urn:schemas-microsoft-com:office:smarttags" w:element="metricconverter">
        <w:smartTagPr>
          <w:attr w:name="ProductID" w:val="70. in"/>
        </w:smartTagPr>
        <w:r>
          <w:t>70. in</w:t>
        </w:r>
      </w:smartTag>
      <w:r>
        <w:t xml:space="preserve"> 80. letih je bil največji delež prebivalstva zaposlen v nekmetijskih dejavnostih (v sekundarnem sektorju), kamor npr. spadajo tudi industrija, rudarstvo, gradbeništvo,… Prehod iz sekundarnih v storitvene dejavnosti (tako na ravni občin Ribnica in Litija kot na ravni celotne Slovenije) se je zgodil z osamosvojitvijo Slovenije (1991), ko je prišlo do propada ali preoblikovanja večine industrijskih podjetij. Drugi razlog pa je tudi, da je osebni avto postal dostopen širšemu prebivalstvu in zato se je večina </w:t>
      </w:r>
      <w:r w:rsidR="007914FA">
        <w:t>ljudi</w:t>
      </w:r>
      <w:r>
        <w:t xml:space="preserve"> začela voziti na delo v večja zaposlitvena s</w:t>
      </w:r>
      <w:r w:rsidR="007914FA">
        <w:t>redišča (iz Ribnice in Litije so se začeli</w:t>
      </w:r>
      <w:r>
        <w:t xml:space="preserve"> voziti predvsem v Ljubljano).</w:t>
      </w:r>
      <w:r w:rsidR="007914FA">
        <w:t xml:space="preserve"> Na to kaže tudi močan porast števila osebnih avtomobilov na 1000 prebivalcev glede na stanje pred 20 leti. </w:t>
      </w:r>
    </w:p>
    <w:p w:rsidR="002D2A1B" w:rsidRDefault="002D2A1B" w:rsidP="00122A12">
      <w:pPr>
        <w:jc w:val="both"/>
      </w:pPr>
    </w:p>
    <w:p w:rsidR="002D2A1B" w:rsidRDefault="008E2D1A" w:rsidP="002D2A1B">
      <w:pPr>
        <w:jc w:val="center"/>
      </w:pPr>
      <w:r>
        <w:pict>
          <v:shape id="_x0000_i1032" type="#_x0000_t75" style="width:285.75pt;height:188.25pt">
            <v:imagedata r:id="rId18" o:title=""/>
          </v:shape>
        </w:pict>
      </w:r>
    </w:p>
    <w:p w:rsidR="002D2A1B" w:rsidRPr="002D2A1B" w:rsidRDefault="002D2A1B" w:rsidP="002D2A1B">
      <w:pPr>
        <w:jc w:val="center"/>
        <w:rPr>
          <w:sz w:val="20"/>
          <w:szCs w:val="20"/>
        </w:rPr>
      </w:pPr>
      <w:r w:rsidRPr="002D2A1B">
        <w:rPr>
          <w:b/>
          <w:sz w:val="20"/>
          <w:szCs w:val="20"/>
        </w:rPr>
        <w:t>Graf 1:</w:t>
      </w:r>
      <w:r w:rsidRPr="002D2A1B">
        <w:rPr>
          <w:sz w:val="20"/>
          <w:szCs w:val="20"/>
        </w:rPr>
        <w:t xml:space="preserve"> Delovno aktivno prebivalstvo po skupinah dejavnosti</w:t>
      </w:r>
    </w:p>
    <w:p w:rsidR="002D2A1B" w:rsidRPr="002D2A1B" w:rsidRDefault="002D2A1B" w:rsidP="002D2A1B">
      <w:pPr>
        <w:jc w:val="center"/>
      </w:pPr>
      <w:r w:rsidRPr="002D2A1B">
        <w:rPr>
          <w:sz w:val="20"/>
          <w:szCs w:val="20"/>
        </w:rPr>
        <w:t>v Sloveniji– popis 2002</w:t>
      </w:r>
      <w:r>
        <w:rPr>
          <w:sz w:val="20"/>
          <w:szCs w:val="20"/>
        </w:rPr>
        <w:t xml:space="preserve">. V občinah Litija in Ribnica je stanje zelo podobno. </w:t>
      </w:r>
      <w:r w:rsidRPr="002D2A1B">
        <w:rPr>
          <w:sz w:val="20"/>
          <w:szCs w:val="20"/>
        </w:rPr>
        <w:t xml:space="preserve"> (vir: </w:t>
      </w:r>
      <w:hyperlink r:id="rId19" w:history="1">
        <w:r w:rsidRPr="002D2A1B">
          <w:rPr>
            <w:rStyle w:val="Hyperlink"/>
            <w:color w:val="auto"/>
            <w:sz w:val="20"/>
            <w:szCs w:val="20"/>
          </w:rPr>
          <w:t>www.stat.si</w:t>
        </w:r>
      </w:hyperlink>
      <w:r w:rsidRPr="002D2A1B">
        <w:rPr>
          <w:sz w:val="20"/>
          <w:szCs w:val="20"/>
        </w:rPr>
        <w:t>)</w:t>
      </w:r>
    </w:p>
    <w:p w:rsidR="00122A12" w:rsidRDefault="00122A12" w:rsidP="003B5E50">
      <w:pPr>
        <w:jc w:val="both"/>
      </w:pPr>
    </w:p>
    <w:p w:rsidR="00EA791E" w:rsidRDefault="00EA791E" w:rsidP="003B5E50">
      <w:pPr>
        <w:jc w:val="both"/>
      </w:pPr>
    </w:p>
    <w:p w:rsidR="00EA791E" w:rsidRDefault="00EA791E" w:rsidP="00EA791E">
      <w:pPr>
        <w:numPr>
          <w:ilvl w:val="1"/>
          <w:numId w:val="8"/>
        </w:numPr>
        <w:rPr>
          <w:b/>
          <w:color w:val="FF0000"/>
        </w:rPr>
      </w:pPr>
      <w:r>
        <w:rPr>
          <w:b/>
          <w:color w:val="FF0000"/>
        </w:rPr>
        <w:t>Prebivalstvo po maternem jeziku</w:t>
      </w:r>
      <w:r w:rsidR="001602D2">
        <w:rPr>
          <w:b/>
          <w:color w:val="FF0000"/>
        </w:rPr>
        <w:t xml:space="preserve"> (priloga 3)</w:t>
      </w:r>
    </w:p>
    <w:p w:rsidR="00EA791E" w:rsidRDefault="00EA791E" w:rsidP="00EA791E">
      <w:pPr>
        <w:jc w:val="both"/>
      </w:pPr>
      <w:r>
        <w:t>Na začetku naj omenim dejstvo</w:t>
      </w:r>
      <w:r w:rsidR="00C1500E">
        <w:t>, da se dejanska narodna slika (sestava)</w:t>
      </w:r>
      <w:r>
        <w:t xml:space="preserve"> prebivalstva nekoliko razlikuje od </w:t>
      </w:r>
      <w:r w:rsidR="00C1500E">
        <w:t>slike prebivalstva po maternem jeziku. Seveda pa v obeh občinah močno prevladujejo  prebivalci, ki so kot svoj materni jezik navedli slovenščino. Ta delež je v obeh občinah višji od državnega povprečja ki znaša 87,75 %.</w:t>
      </w:r>
      <w:r w:rsidR="00D17F37">
        <w:t xml:space="preserve"> V občini Ribnica je slovenščino kot materni jezik navedlo 8489 prebivalcev kar predstavlja 91,61 % vseh prebivalcev občine, v občini Litija pa je bilo takih 17284 prebivalcev (90,40 %). Takoj za slovenskim jezikom sledijo materni jeziki nekdanjih jugoslova</w:t>
      </w:r>
      <w:r w:rsidR="00170316">
        <w:t>nskih republik</w:t>
      </w:r>
      <w:r w:rsidR="007914FA">
        <w:t xml:space="preserve"> (tabela )</w:t>
      </w:r>
      <w:r w:rsidR="00170316">
        <w:t xml:space="preserve">. Glavni razlog za to je, da so ljudje iz bivših republik nekdanje Jugoslavije predvsem v </w:t>
      </w:r>
      <w:smartTag w:uri="urn:schemas-microsoft-com:office:smarttags" w:element="metricconverter">
        <w:smartTagPr>
          <w:attr w:name="ProductID" w:val="70. in"/>
        </w:smartTagPr>
        <w:r w:rsidR="00170316">
          <w:t>70. in</w:t>
        </w:r>
      </w:smartTag>
      <w:r w:rsidR="00170316">
        <w:t xml:space="preserve"> 80. letih 20. stoletja množično iskali nove zaposlitvene možnosti v Sloveniji, ki je veljala za najbolj razvito republiko tedanje Jugoslavije (raj za delavce). Največji delež teh priseljencev se je zaposlil v industriji, ki je rabila predvsem nizko kvalificirano delovno silo. Po razpadu Jugoslavije je večji del teh priseljencev ostal v Sloveniji. </w:t>
      </w:r>
    </w:p>
    <w:p w:rsidR="001602D2" w:rsidRDefault="008E2D1A" w:rsidP="001602D2">
      <w:pPr>
        <w:jc w:val="center"/>
      </w:pPr>
      <w:r>
        <w:pict>
          <v:shape id="_x0000_i1033" type="#_x0000_t75" style="width:393.75pt;height:273.75pt">
            <v:imagedata r:id="rId20" o:title=""/>
          </v:shape>
        </w:pict>
      </w:r>
    </w:p>
    <w:p w:rsidR="001602D2" w:rsidRPr="00FB632B" w:rsidRDefault="001602D2" w:rsidP="001602D2">
      <w:pPr>
        <w:jc w:val="center"/>
        <w:rPr>
          <w:sz w:val="20"/>
          <w:szCs w:val="20"/>
        </w:rPr>
      </w:pPr>
      <w:r w:rsidRPr="00FB632B">
        <w:rPr>
          <w:b/>
          <w:sz w:val="20"/>
          <w:szCs w:val="20"/>
        </w:rPr>
        <w:t xml:space="preserve">Graf 3: </w:t>
      </w:r>
      <w:r w:rsidRPr="00FB632B">
        <w:rPr>
          <w:sz w:val="20"/>
          <w:szCs w:val="20"/>
        </w:rPr>
        <w:t xml:space="preserve">Prebivalstvo po maternem jeziku v Sloveniji ob popisu 2002 (vir: </w:t>
      </w:r>
      <w:hyperlink r:id="rId21" w:history="1">
        <w:r w:rsidRPr="00FB632B">
          <w:rPr>
            <w:rStyle w:val="Hyperlink"/>
            <w:sz w:val="20"/>
            <w:szCs w:val="20"/>
          </w:rPr>
          <w:t>www.stat.si</w:t>
        </w:r>
      </w:hyperlink>
      <w:r w:rsidRPr="00FB632B">
        <w:rPr>
          <w:sz w:val="20"/>
          <w:szCs w:val="20"/>
        </w:rPr>
        <w:t>)</w:t>
      </w:r>
    </w:p>
    <w:p w:rsidR="001602D2" w:rsidRDefault="001602D2" w:rsidP="00EA791E">
      <w:pPr>
        <w:jc w:val="both"/>
      </w:pPr>
    </w:p>
    <w:p w:rsidR="002820E1" w:rsidRDefault="002820E1" w:rsidP="00EA791E">
      <w:pPr>
        <w:jc w:val="both"/>
      </w:pPr>
    </w:p>
    <w:p w:rsidR="001602D2" w:rsidRDefault="001602D2" w:rsidP="00EA791E">
      <w:pPr>
        <w:jc w:val="both"/>
      </w:pPr>
    </w:p>
    <w:p w:rsidR="001602D2" w:rsidRDefault="001602D2" w:rsidP="00EA791E">
      <w:pPr>
        <w:jc w:val="both"/>
      </w:pPr>
    </w:p>
    <w:p w:rsidR="001602D2" w:rsidRDefault="001602D2" w:rsidP="00EA791E">
      <w:pPr>
        <w:jc w:val="both"/>
      </w:pPr>
    </w:p>
    <w:p w:rsidR="002820E1" w:rsidRDefault="002820E1" w:rsidP="002820E1">
      <w:pPr>
        <w:numPr>
          <w:ilvl w:val="1"/>
          <w:numId w:val="8"/>
        </w:numPr>
        <w:rPr>
          <w:b/>
          <w:color w:val="FF0000"/>
        </w:rPr>
      </w:pPr>
      <w:r>
        <w:rPr>
          <w:b/>
          <w:color w:val="FF0000"/>
        </w:rPr>
        <w:t>Naravni prirast prebivalstva</w:t>
      </w:r>
      <w:r w:rsidR="00A24CC8">
        <w:rPr>
          <w:b/>
          <w:color w:val="FF0000"/>
        </w:rPr>
        <w:t xml:space="preserve"> 1997-2010</w:t>
      </w:r>
    </w:p>
    <w:p w:rsidR="002820E1" w:rsidRDefault="00472DE8" w:rsidP="00CC53E6">
      <w:pPr>
        <w:jc w:val="both"/>
      </w:pPr>
      <w:r>
        <w:t>Naravni prirast je razlika med rodnostjo (številom živorojenih na 1000 prebivalcev) in umrljivostjo (številom umrlih na 1000 prebivalcev). V Sloveniji je bil naravni prirast v letih 1997 do vključno 2005 vseskozi negativen, kar pomeni, da se je rodilo manj ljudi, kot jih je umrlo. V letu 2006 je Slovenija ponovno začela beležiti pozitiven naravni prirast, ve</w:t>
      </w:r>
      <w:r w:rsidR="00CC53E6">
        <w:t>ndar je to le začasen pojav. Razlog za to stanje gre iskati predvsem v želji parov po vedno kasnejšem rojevanju otrok, ki se je pojavila v začetku osemdesetih let prejšnjega stoletja.  Tako se sedaj rojevajo t. i. odloženi otroci. V prihodnjih letih se zaradi čedalje manjšega števila žensk v rodni dobi in čedalje večjega števila starejš</w:t>
      </w:r>
      <w:r w:rsidR="008E36BD">
        <w:t xml:space="preserve">ih znova pričakuje negativni naravni prirast prebivalstva. </w:t>
      </w:r>
    </w:p>
    <w:p w:rsidR="008E36BD" w:rsidRDefault="008E36BD" w:rsidP="00CC53E6">
      <w:pPr>
        <w:jc w:val="both"/>
      </w:pPr>
      <w:r>
        <w:t xml:space="preserve">V občinah Ribnica in Litija je naravni prirast v povprečju višji od slovenskega povprečja. </w:t>
      </w:r>
      <w:r w:rsidR="00AB379D">
        <w:t xml:space="preserve">Kljub temu pa je tu moč opaziti večja nihanja le tega. </w:t>
      </w:r>
      <w:r>
        <w:t xml:space="preserve">Zaradi razmeroma majhnega števila prebivalstva v teh občinah morebitne letne anomalije v rodnosti in smrtnosti  pridejo toliko bolj do izraza. </w:t>
      </w:r>
    </w:p>
    <w:p w:rsidR="001602D2" w:rsidRDefault="008E2D1A" w:rsidP="001602D2">
      <w:pPr>
        <w:jc w:val="center"/>
      </w:pPr>
      <w:r>
        <w:pict>
          <v:shape id="_x0000_i1034" type="#_x0000_t75" style="width:363pt;height:249.75pt">
            <v:imagedata r:id="rId22" o:title=""/>
          </v:shape>
        </w:pict>
      </w:r>
    </w:p>
    <w:p w:rsidR="001602D2" w:rsidRPr="001602D2" w:rsidRDefault="00FB632B" w:rsidP="001602D2">
      <w:pPr>
        <w:jc w:val="center"/>
        <w:rPr>
          <w:sz w:val="20"/>
          <w:szCs w:val="20"/>
        </w:rPr>
      </w:pPr>
      <w:r>
        <w:rPr>
          <w:b/>
          <w:sz w:val="20"/>
          <w:szCs w:val="20"/>
        </w:rPr>
        <w:t>Graf 4</w:t>
      </w:r>
      <w:r w:rsidR="001602D2" w:rsidRPr="001602D2">
        <w:rPr>
          <w:b/>
          <w:sz w:val="20"/>
          <w:szCs w:val="20"/>
        </w:rPr>
        <w:t>:</w:t>
      </w:r>
      <w:r w:rsidR="001602D2" w:rsidRPr="001602D2">
        <w:rPr>
          <w:sz w:val="20"/>
          <w:szCs w:val="20"/>
        </w:rPr>
        <w:t xml:space="preserve"> Naravni prirast na 1000 prebivalcev v Sloveniji 1997-2010 (vir: </w:t>
      </w:r>
      <w:hyperlink r:id="rId23" w:history="1">
        <w:r w:rsidR="001602D2" w:rsidRPr="001602D2">
          <w:rPr>
            <w:rStyle w:val="Hyperlink"/>
            <w:sz w:val="20"/>
            <w:szCs w:val="20"/>
          </w:rPr>
          <w:t>www.stat.si</w:t>
        </w:r>
      </w:hyperlink>
      <w:r w:rsidR="001602D2" w:rsidRPr="001602D2">
        <w:rPr>
          <w:sz w:val="20"/>
          <w:szCs w:val="20"/>
        </w:rPr>
        <w:t>)</w:t>
      </w:r>
    </w:p>
    <w:p w:rsidR="001602D2" w:rsidRPr="00472DE8" w:rsidRDefault="001602D2" w:rsidP="00CC53E6">
      <w:pPr>
        <w:jc w:val="both"/>
      </w:pPr>
    </w:p>
    <w:p w:rsidR="002820E1" w:rsidRDefault="002820E1" w:rsidP="00EA791E">
      <w:pPr>
        <w:jc w:val="both"/>
      </w:pPr>
    </w:p>
    <w:p w:rsidR="00321A07" w:rsidRDefault="00AB379D" w:rsidP="00321A07">
      <w:pPr>
        <w:numPr>
          <w:ilvl w:val="1"/>
          <w:numId w:val="8"/>
        </w:numPr>
        <w:rPr>
          <w:b/>
          <w:color w:val="FF0000"/>
        </w:rPr>
      </w:pPr>
      <w:r>
        <w:rPr>
          <w:b/>
          <w:color w:val="FF0000"/>
        </w:rPr>
        <w:t xml:space="preserve">Selitveni prirast s tujino </w:t>
      </w:r>
      <w:r w:rsidR="00A24CC8">
        <w:rPr>
          <w:b/>
          <w:color w:val="FF0000"/>
        </w:rPr>
        <w:t>1997-2010</w:t>
      </w:r>
    </w:p>
    <w:p w:rsidR="00AB379D" w:rsidRDefault="00AB379D" w:rsidP="00A24CC8">
      <w:pPr>
        <w:jc w:val="both"/>
      </w:pPr>
      <w:r w:rsidRPr="00AB379D">
        <w:t xml:space="preserve">Slovenija </w:t>
      </w:r>
      <w:r w:rsidR="00A24CC8">
        <w:t xml:space="preserve">do vključno leta 2004 beležila razmeroma nizek selitveni prirast s tujino na 1000 prebivalcev. Enako velja tudi za občini Litija in Ribnica, kjer je bil selitveni prirast s tujino v posameznih letih celo negativen, kar pomeni, da se je več tujcev iz občine izselilo kakor se vanjo priselilo. Za leta 2005-2008 pa je značilno naraščanje selitvenega prirasta s tujino. Razlogov za to je več. Slovenija je maja 2004 postala članica Evropske unije, slovensko gospodarstvo je dobesedno cvetelo. Slovenija je tako postala raj za številne tuje delavce. </w:t>
      </w:r>
    </w:p>
    <w:p w:rsidR="002E491F" w:rsidRDefault="002E491F" w:rsidP="00A24CC8">
      <w:pPr>
        <w:jc w:val="both"/>
      </w:pPr>
      <w:r>
        <w:t xml:space="preserve">Gospodarska situacija se je v Sloveniji z nastopom gospodarske krize spremenila v letu 2009. Številna slovenska podjetja so propadla, Slovenija je zato gospodarsko nazadovala, selitveni prirast s tujino pa je hitro upadel in bil leta 2010 v državnem povprečju že negativen. Podobno </w:t>
      </w:r>
      <w:r w:rsidR="0060648D">
        <w:t xml:space="preserve">je </w:t>
      </w:r>
      <w:r>
        <w:t>velja</w:t>
      </w:r>
      <w:r w:rsidR="0060648D">
        <w:t>lo</w:t>
      </w:r>
      <w:r>
        <w:t xml:space="preserve"> za občini Ribnica in Litija.</w:t>
      </w:r>
    </w:p>
    <w:p w:rsidR="002E491F" w:rsidRDefault="002E491F" w:rsidP="00A24CC8">
      <w:pPr>
        <w:jc w:val="both"/>
      </w:pPr>
    </w:p>
    <w:p w:rsidR="00321A07" w:rsidRDefault="00321A07" w:rsidP="00A24CC8">
      <w:pPr>
        <w:jc w:val="both"/>
      </w:pPr>
    </w:p>
    <w:p w:rsidR="00321A07" w:rsidRDefault="00321A07" w:rsidP="00321A07">
      <w:pPr>
        <w:numPr>
          <w:ilvl w:val="1"/>
          <w:numId w:val="8"/>
        </w:numPr>
        <w:jc w:val="both"/>
        <w:rPr>
          <w:b/>
          <w:color w:val="FF0000"/>
        </w:rPr>
      </w:pPr>
      <w:r>
        <w:rPr>
          <w:b/>
          <w:color w:val="FF0000"/>
        </w:rPr>
        <w:t>Selitveni prirast med občinami 1997-2010</w:t>
      </w:r>
    </w:p>
    <w:p w:rsidR="001448BA" w:rsidRDefault="00321A07" w:rsidP="00321A07">
      <w:pPr>
        <w:jc w:val="both"/>
      </w:pPr>
      <w:r>
        <w:t xml:space="preserve">V vseh letih razen leta </w:t>
      </w:r>
      <w:smartTag w:uri="urn:schemas-microsoft-com:office:smarttags" w:element="metricconverter">
        <w:smartTagPr>
          <w:attr w:name="ProductID" w:val="2005 in"/>
        </w:smartTagPr>
        <w:r>
          <w:t>2005 in</w:t>
        </w:r>
      </w:smartTag>
      <w:r>
        <w:t xml:space="preserve"> 2007 je v občini </w:t>
      </w:r>
      <w:r w:rsidR="001448BA">
        <w:t xml:space="preserve">Litija </w:t>
      </w:r>
      <w:r>
        <w:t xml:space="preserve">prevladoval pozitiven selitveni prirast med občinami. </w:t>
      </w:r>
      <w:r w:rsidR="001448BA">
        <w:t xml:space="preserve">Za občino Ribnica je nihanje tega prirasta precej večje kot v občini Litija. Primer za to je podatek, da je bil leta 2007 selitveni prirast med občinami v občini Ribnica </w:t>
      </w:r>
    </w:p>
    <w:p w:rsidR="00321A07" w:rsidRPr="00321A07" w:rsidRDefault="001448BA" w:rsidP="00321A07">
      <w:pPr>
        <w:jc w:val="both"/>
      </w:pPr>
      <w:r>
        <w:t xml:space="preserve">-3,5 preb./1000 prebivalcev, leta 2010 pa je ta znašal že 8,6 prebivalcev/1000 prebivalcev. </w:t>
      </w:r>
    </w:p>
    <w:p w:rsidR="00321A07" w:rsidRDefault="00321A07" w:rsidP="00321A07">
      <w:pPr>
        <w:jc w:val="both"/>
        <w:rPr>
          <w:b/>
          <w:color w:val="FF0000"/>
        </w:rPr>
      </w:pPr>
    </w:p>
    <w:p w:rsidR="00321A07" w:rsidRDefault="00321A07" w:rsidP="00321A07">
      <w:pPr>
        <w:numPr>
          <w:ilvl w:val="1"/>
          <w:numId w:val="8"/>
        </w:numPr>
        <w:jc w:val="both"/>
        <w:rPr>
          <w:b/>
          <w:color w:val="FF0000"/>
        </w:rPr>
      </w:pPr>
      <w:r>
        <w:rPr>
          <w:b/>
          <w:color w:val="FF0000"/>
        </w:rPr>
        <w:t>Skupni prirast 1997-2010</w:t>
      </w:r>
    </w:p>
    <w:p w:rsidR="0060648D" w:rsidRDefault="002E491F" w:rsidP="002E491F">
      <w:pPr>
        <w:jc w:val="both"/>
      </w:pPr>
      <w:r>
        <w:t xml:space="preserve">Skupni prirast je rezultat seštevka naravnega in selitvenega prirasta. Skupni prirast na 1000 prebivalcev je </w:t>
      </w:r>
      <w:r w:rsidR="00321A07">
        <w:t xml:space="preserve">bil na državni ravni do vključno leta 2004 zelo nizek in prvi dve leti (1997, 1998) celo negativen. </w:t>
      </w:r>
      <w:r w:rsidR="00A75676">
        <w:t xml:space="preserve">To je bila predvsem posledica negativnega naravnega prirastka in nizkega selitvenega prirasta s tujino. </w:t>
      </w:r>
      <w:r w:rsidR="00B676C9">
        <w:t xml:space="preserve">Skupni prirast je po letu 2004 narasel in dosegel svoj najvišji višek leta 2008, ko je pričel zaradi ponovnega upada selitvenega prirasta znova upadati. </w:t>
      </w:r>
    </w:p>
    <w:p w:rsidR="002E491F" w:rsidRDefault="00B676C9" w:rsidP="002E491F">
      <w:pPr>
        <w:jc w:val="both"/>
      </w:pPr>
      <w:r>
        <w:t xml:space="preserve">V občini Ribnica so v letih 1997-2001 beležili pozitiven skupni prirast, sledila so 3 leta (2002-2004) negativnega skupnega prirasta, kar je bila posledica znižanega tako naravnega kot selitvenega prirasta. V letih 2005-2009 so v občini Ribnica ponovno beležili pozitiven skupni prirast prebivalstva. </w:t>
      </w:r>
    </w:p>
    <w:p w:rsidR="0060648D" w:rsidRDefault="0060648D" w:rsidP="002E491F">
      <w:pPr>
        <w:jc w:val="both"/>
      </w:pPr>
      <w:r>
        <w:t xml:space="preserve">V občini Litija je bil skupni prirast prebivalstva v letih 1997-2010 vseskozi pozitiven. </w:t>
      </w:r>
    </w:p>
    <w:p w:rsidR="00FB632B" w:rsidRDefault="00FB632B" w:rsidP="002E491F">
      <w:pPr>
        <w:jc w:val="both"/>
      </w:pPr>
    </w:p>
    <w:p w:rsidR="00FB632B" w:rsidRDefault="008E2D1A" w:rsidP="00FB632B">
      <w:pPr>
        <w:jc w:val="center"/>
      </w:pPr>
      <w:r>
        <w:pict>
          <v:shape id="_x0000_i1035" type="#_x0000_t75" style="width:369.75pt;height:249.75pt">
            <v:imagedata r:id="rId24" o:title=""/>
          </v:shape>
        </w:pict>
      </w:r>
    </w:p>
    <w:p w:rsidR="00FB632B" w:rsidRPr="00FB632B" w:rsidRDefault="00FB632B" w:rsidP="00FB632B">
      <w:pPr>
        <w:jc w:val="center"/>
        <w:rPr>
          <w:sz w:val="20"/>
          <w:szCs w:val="20"/>
        </w:rPr>
      </w:pPr>
      <w:r w:rsidRPr="00FB632B">
        <w:rPr>
          <w:b/>
          <w:sz w:val="20"/>
          <w:szCs w:val="20"/>
        </w:rPr>
        <w:t>Graf 5:</w:t>
      </w:r>
      <w:r w:rsidRPr="00FB632B">
        <w:rPr>
          <w:sz w:val="20"/>
          <w:szCs w:val="20"/>
        </w:rPr>
        <w:t xml:space="preserve"> Skupni prirast na 1000 prebivalcev v Sloveniji 1997-2010 (vir: </w:t>
      </w:r>
      <w:hyperlink r:id="rId25" w:history="1">
        <w:r w:rsidRPr="00FB632B">
          <w:rPr>
            <w:rStyle w:val="Hyperlink"/>
            <w:sz w:val="20"/>
            <w:szCs w:val="20"/>
          </w:rPr>
          <w:t>www.stat.si</w:t>
        </w:r>
      </w:hyperlink>
      <w:r w:rsidRPr="00FB632B">
        <w:rPr>
          <w:sz w:val="20"/>
          <w:szCs w:val="20"/>
        </w:rPr>
        <w:t>)</w:t>
      </w:r>
    </w:p>
    <w:p w:rsidR="00FB632B" w:rsidRPr="002E491F" w:rsidRDefault="00FB632B" w:rsidP="002E491F">
      <w:pPr>
        <w:jc w:val="both"/>
      </w:pPr>
    </w:p>
    <w:p w:rsidR="00AB379D" w:rsidRPr="00EA791E" w:rsidRDefault="00AB379D" w:rsidP="00EA791E">
      <w:pPr>
        <w:jc w:val="both"/>
      </w:pPr>
    </w:p>
    <w:p w:rsidR="00EA791E" w:rsidRPr="00D36012" w:rsidRDefault="00EA791E" w:rsidP="003B5E50">
      <w:pPr>
        <w:jc w:val="both"/>
      </w:pPr>
    </w:p>
    <w:p w:rsidR="003B5E50" w:rsidRPr="0003490A" w:rsidRDefault="003B5E50" w:rsidP="003B5E50">
      <w:pPr>
        <w:rPr>
          <w:color w:val="008000"/>
          <w:sz w:val="2"/>
          <w:szCs w:val="2"/>
        </w:rPr>
      </w:pPr>
    </w:p>
    <w:p w:rsidR="003B5E50" w:rsidRDefault="004C51E4" w:rsidP="003B5E50">
      <w:pPr>
        <w:rPr>
          <w:b/>
          <w:color w:val="008000"/>
          <w:sz w:val="28"/>
          <w:szCs w:val="28"/>
        </w:rPr>
      </w:pPr>
      <w:r w:rsidRPr="004C51E4">
        <w:rPr>
          <w:b/>
          <w:color w:val="008000"/>
          <w:sz w:val="28"/>
          <w:szCs w:val="28"/>
        </w:rPr>
        <w:t>4</w:t>
      </w:r>
      <w:r w:rsidR="003B5E50" w:rsidRPr="004C51E4">
        <w:rPr>
          <w:b/>
          <w:color w:val="008000"/>
          <w:sz w:val="28"/>
          <w:szCs w:val="28"/>
        </w:rPr>
        <w:t>. ZAKLJUČEK</w:t>
      </w:r>
    </w:p>
    <w:p w:rsidR="0060648D" w:rsidRDefault="0060648D" w:rsidP="00354B85">
      <w:pPr>
        <w:jc w:val="both"/>
      </w:pPr>
      <w:r>
        <w:t>Z vajo smo potrdili že zn</w:t>
      </w:r>
      <w:r w:rsidR="00354B85">
        <w:t xml:space="preserve">ano dejstvo, da se prebivalstvo stara in posledično se spreminja delež med aktivnim in neaktivnim prebivalstvom. Država si lahko s statističnimi podatki o številu prebivalstva po posameznih kategorijah in projekcijami prebivalstva pomaga pri načrtovanju novega pokojninskega sistema. V Sloveniji imamo namreč še vedno pokojninski sistem zasnovan v času, ko je bil delež mladih visok in delež mladih nizek. </w:t>
      </w:r>
    </w:p>
    <w:p w:rsidR="00354B85" w:rsidRDefault="00354B85" w:rsidP="00354B85">
      <w:pPr>
        <w:jc w:val="both"/>
      </w:pPr>
      <w:r>
        <w:t xml:space="preserve">Z vajo smo ugotovili, da je bilo ob popisu 2002 le še okoli 4 % prebivalstva, ki se je ukvarjalo s kmetijstvom, največji delež zaposlenih pa je bil tako v občinah Ribnica in Litija kot na državni ravni </w:t>
      </w:r>
      <w:r w:rsidR="00584469">
        <w:t xml:space="preserve">zabeležen v storitvenih dejavnostih (terciarni in kvartarni sektor). </w:t>
      </w:r>
    </w:p>
    <w:p w:rsidR="00584469" w:rsidRDefault="00584469" w:rsidP="00354B85">
      <w:pPr>
        <w:jc w:val="both"/>
      </w:pPr>
      <w:r>
        <w:t xml:space="preserve">Narodna sestava prebivalcev Slovenije je precej homogena, kar se kaže tudi po maternem jeziku. Močno prevladuje slovenski materni jezik. V občinah Ribnica in Litija je bilo ob popisu več kot 90 % prebivalstva (kar je nekoliko več od slovenskega povprečja), ki je za svoj materni jezik navedel slovenščino. </w:t>
      </w:r>
    </w:p>
    <w:p w:rsidR="0019491E" w:rsidRDefault="0019491E" w:rsidP="00354B85">
      <w:pPr>
        <w:jc w:val="both"/>
      </w:pPr>
      <w:r>
        <w:t xml:space="preserve">Izobrazbena sestava prebivalstva je bila ob popisu 2002 še razmeroma slaba, saj je takrat živelo približno ena tretjina prebivalstva brez izobrazbe, z nepopolno osnovno izobrazbo in osnovno izobrazbo. Vendar se je stanje glede na prejšnje popise že močno izboljšalo. </w:t>
      </w:r>
    </w:p>
    <w:p w:rsidR="0019491E" w:rsidRDefault="0019491E" w:rsidP="00354B85">
      <w:pPr>
        <w:jc w:val="both"/>
      </w:pPr>
    </w:p>
    <w:p w:rsidR="00584469" w:rsidRPr="0060648D" w:rsidRDefault="00584469" w:rsidP="00354B85">
      <w:pPr>
        <w:jc w:val="both"/>
      </w:pPr>
    </w:p>
    <w:p w:rsidR="003B5E50" w:rsidRPr="008575C6" w:rsidRDefault="003B5E50" w:rsidP="003B5E50"/>
    <w:p w:rsidR="003B5E50" w:rsidRPr="008575C6" w:rsidRDefault="003B5E50" w:rsidP="003B5E50">
      <w:pPr>
        <w:rPr>
          <w:color w:val="008000"/>
        </w:rPr>
      </w:pPr>
    </w:p>
    <w:p w:rsidR="003B5E50" w:rsidRPr="00BE55E1" w:rsidRDefault="003B5E50" w:rsidP="003B5E50">
      <w:pPr>
        <w:rPr>
          <w:color w:val="008000"/>
          <w:sz w:val="10"/>
          <w:szCs w:val="10"/>
        </w:rPr>
      </w:pPr>
    </w:p>
    <w:p w:rsidR="003B5E50" w:rsidRDefault="003B5E50" w:rsidP="003B5E50"/>
    <w:p w:rsidR="003B5E50" w:rsidRDefault="003B5E50" w:rsidP="003B5E50"/>
    <w:p w:rsidR="003B5E50" w:rsidRDefault="003B5E50" w:rsidP="003B5E50"/>
    <w:p w:rsidR="00BC1725" w:rsidRDefault="00BC1725"/>
    <w:sectPr w:rsidR="00BC1725">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0D3" w:rsidRDefault="00BB40D3">
      <w:r>
        <w:separator/>
      </w:r>
    </w:p>
  </w:endnote>
  <w:endnote w:type="continuationSeparator" w:id="0">
    <w:p w:rsidR="00BB40D3" w:rsidRDefault="00BB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1E4" w:rsidRPr="00D36012" w:rsidRDefault="00BD6CDB">
    <w:pPr>
      <w:pStyle w:val="Footer"/>
    </w:pPr>
    <w:r>
      <w:t>4</w:t>
    </w:r>
    <w:r w:rsidR="004C51E4" w:rsidRPr="00D36012">
      <w:t xml:space="preserve">. </w:t>
    </w:r>
    <w:r>
      <w:t xml:space="preserve">maturitetna vaja                                                                     </w:t>
    </w:r>
    <w:r w:rsidR="00FB632B">
      <w:t xml:space="preserve">                           </w:t>
    </w:r>
    <w:r w:rsidR="004C51E4" w:rsidRPr="00D36012">
      <w:t xml:space="preserve">Stran </w:t>
    </w:r>
    <w:r w:rsidR="004C51E4" w:rsidRPr="00D36012">
      <w:fldChar w:fldCharType="begin"/>
    </w:r>
    <w:r w:rsidR="004C51E4" w:rsidRPr="00D36012">
      <w:instrText xml:space="preserve"> PAGE </w:instrText>
    </w:r>
    <w:r w:rsidR="004C51E4" w:rsidRPr="00D36012">
      <w:fldChar w:fldCharType="separate"/>
    </w:r>
    <w:r w:rsidR="00AB4630">
      <w:rPr>
        <w:noProof/>
      </w:rPr>
      <w:t>7</w:t>
    </w:r>
    <w:r w:rsidR="004C51E4" w:rsidRPr="00D36012">
      <w:fldChar w:fldCharType="end"/>
    </w:r>
    <w:r w:rsidR="004C51E4" w:rsidRPr="00D36012">
      <w:t xml:space="preserve"> od </w:t>
    </w:r>
    <w:fldSimple w:instr=" NUMPAGES ">
      <w:r w:rsidR="00AB4630">
        <w:rPr>
          <w:noProof/>
        </w:rPr>
        <w:t>10</w:t>
      </w:r>
    </w:fldSimple>
    <w:r w:rsidR="004C51E4" w:rsidRPr="00D360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0D3" w:rsidRDefault="00BB40D3">
      <w:r>
        <w:separator/>
      </w:r>
    </w:p>
  </w:footnote>
  <w:footnote w:type="continuationSeparator" w:id="0">
    <w:p w:rsidR="00BB40D3" w:rsidRDefault="00BB4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CDB" w:rsidRPr="003816CC" w:rsidRDefault="00BD6CDB" w:rsidP="00BD6CDB">
    <w:pPr>
      <w:ind w:left="360"/>
      <w:jc w:val="center"/>
      <w:rPr>
        <w:sz w:val="20"/>
        <w:szCs w:val="20"/>
      </w:rPr>
    </w:pPr>
    <w:r w:rsidRPr="003816CC">
      <w:rPr>
        <w:sz w:val="20"/>
        <w:szCs w:val="20"/>
      </w:rPr>
      <w:t>Statistična obdelava, prikaz ter analiza podatkov na osnovi popisa prebivalstva</w:t>
    </w:r>
  </w:p>
  <w:p w:rsidR="004C51E4" w:rsidRPr="00D36012" w:rsidRDefault="004C51E4" w:rsidP="004C51E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msoC4"/>
      </v:shape>
    </w:pict>
  </w:numPicBullet>
  <w:abstractNum w:abstractNumId="0" w15:restartNumberingAfterBreak="0">
    <w:nsid w:val="005E32E7"/>
    <w:multiLevelType w:val="hybridMultilevel"/>
    <w:tmpl w:val="E8D852FC"/>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E230DE"/>
    <w:multiLevelType w:val="hybridMultilevel"/>
    <w:tmpl w:val="D99AA5EA"/>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555812"/>
    <w:multiLevelType w:val="multilevel"/>
    <w:tmpl w:val="FEF6F2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092327F"/>
    <w:multiLevelType w:val="hybridMultilevel"/>
    <w:tmpl w:val="C27A472C"/>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FB74E8"/>
    <w:multiLevelType w:val="multilevel"/>
    <w:tmpl w:val="FEF6F2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7811978"/>
    <w:multiLevelType w:val="hybridMultilevel"/>
    <w:tmpl w:val="A56007F6"/>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6F2080"/>
    <w:multiLevelType w:val="hybridMultilevel"/>
    <w:tmpl w:val="BDE82204"/>
    <w:lvl w:ilvl="0" w:tplc="5874D37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D33F33"/>
    <w:multiLevelType w:val="hybridMultilevel"/>
    <w:tmpl w:val="8BA8113A"/>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5E50"/>
    <w:rsid w:val="00025B70"/>
    <w:rsid w:val="00037B9A"/>
    <w:rsid w:val="00084706"/>
    <w:rsid w:val="000B384A"/>
    <w:rsid w:val="000C3053"/>
    <w:rsid w:val="000C4E0C"/>
    <w:rsid w:val="000C7758"/>
    <w:rsid w:val="00122A12"/>
    <w:rsid w:val="00124B38"/>
    <w:rsid w:val="001448BA"/>
    <w:rsid w:val="00147779"/>
    <w:rsid w:val="001602D2"/>
    <w:rsid w:val="00170316"/>
    <w:rsid w:val="0019491E"/>
    <w:rsid w:val="001D7AE6"/>
    <w:rsid w:val="002675F2"/>
    <w:rsid w:val="002820E1"/>
    <w:rsid w:val="002C3CE0"/>
    <w:rsid w:val="002D2A1B"/>
    <w:rsid w:val="002E491F"/>
    <w:rsid w:val="002F3B17"/>
    <w:rsid w:val="00321A07"/>
    <w:rsid w:val="00352CBA"/>
    <w:rsid w:val="00354B85"/>
    <w:rsid w:val="003604D9"/>
    <w:rsid w:val="00375520"/>
    <w:rsid w:val="003816CC"/>
    <w:rsid w:val="003941F3"/>
    <w:rsid w:val="003B5E50"/>
    <w:rsid w:val="0046595F"/>
    <w:rsid w:val="0047186A"/>
    <w:rsid w:val="00472DE8"/>
    <w:rsid w:val="004C3895"/>
    <w:rsid w:val="004C4DFF"/>
    <w:rsid w:val="004C51E4"/>
    <w:rsid w:val="004D059D"/>
    <w:rsid w:val="004D6502"/>
    <w:rsid w:val="00535DBE"/>
    <w:rsid w:val="00541112"/>
    <w:rsid w:val="00584469"/>
    <w:rsid w:val="005970BE"/>
    <w:rsid w:val="0060648D"/>
    <w:rsid w:val="0063084A"/>
    <w:rsid w:val="006F6EBF"/>
    <w:rsid w:val="007352B5"/>
    <w:rsid w:val="0076691E"/>
    <w:rsid w:val="007914FA"/>
    <w:rsid w:val="007C38F4"/>
    <w:rsid w:val="007C3929"/>
    <w:rsid w:val="00805E71"/>
    <w:rsid w:val="008A4BF2"/>
    <w:rsid w:val="008E155A"/>
    <w:rsid w:val="008E1B16"/>
    <w:rsid w:val="008E2D1A"/>
    <w:rsid w:val="008E36BD"/>
    <w:rsid w:val="00933892"/>
    <w:rsid w:val="00957542"/>
    <w:rsid w:val="0098449F"/>
    <w:rsid w:val="00A05D9A"/>
    <w:rsid w:val="00A05F40"/>
    <w:rsid w:val="00A17AC4"/>
    <w:rsid w:val="00A24CC8"/>
    <w:rsid w:val="00A458C1"/>
    <w:rsid w:val="00A502C1"/>
    <w:rsid w:val="00A75676"/>
    <w:rsid w:val="00A96A31"/>
    <w:rsid w:val="00AB379D"/>
    <w:rsid w:val="00AB4630"/>
    <w:rsid w:val="00B046B6"/>
    <w:rsid w:val="00B13838"/>
    <w:rsid w:val="00B23FB4"/>
    <w:rsid w:val="00B648F1"/>
    <w:rsid w:val="00B676C9"/>
    <w:rsid w:val="00B97A63"/>
    <w:rsid w:val="00BB40D3"/>
    <w:rsid w:val="00BC1725"/>
    <w:rsid w:val="00BD6CDB"/>
    <w:rsid w:val="00BF1347"/>
    <w:rsid w:val="00BF4BC5"/>
    <w:rsid w:val="00C1158A"/>
    <w:rsid w:val="00C1500E"/>
    <w:rsid w:val="00C30523"/>
    <w:rsid w:val="00CC1FF7"/>
    <w:rsid w:val="00CC53E6"/>
    <w:rsid w:val="00CE527F"/>
    <w:rsid w:val="00D17F37"/>
    <w:rsid w:val="00D258C7"/>
    <w:rsid w:val="00D2718B"/>
    <w:rsid w:val="00DE66B2"/>
    <w:rsid w:val="00E954D5"/>
    <w:rsid w:val="00EA791E"/>
    <w:rsid w:val="00EB2345"/>
    <w:rsid w:val="00ED3AB4"/>
    <w:rsid w:val="00EE3052"/>
    <w:rsid w:val="00F22496"/>
    <w:rsid w:val="00F902CA"/>
    <w:rsid w:val="00F90D59"/>
    <w:rsid w:val="00FA23AA"/>
    <w:rsid w:val="00FB63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E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g4">
    <w:name w:val="Slog4"/>
    <w:basedOn w:val="Normal"/>
    <w:rsid w:val="00BC1725"/>
    <w:pPr>
      <w:jc w:val="both"/>
    </w:pPr>
    <w:rPr>
      <w:bCs/>
    </w:rPr>
  </w:style>
  <w:style w:type="paragraph" w:styleId="Header">
    <w:name w:val="header"/>
    <w:basedOn w:val="Normal"/>
    <w:rsid w:val="003B5E50"/>
    <w:pPr>
      <w:tabs>
        <w:tab w:val="center" w:pos="4536"/>
        <w:tab w:val="right" w:pos="9072"/>
      </w:tabs>
    </w:pPr>
  </w:style>
  <w:style w:type="paragraph" w:styleId="Footer">
    <w:name w:val="footer"/>
    <w:basedOn w:val="Normal"/>
    <w:rsid w:val="003B5E50"/>
    <w:pPr>
      <w:tabs>
        <w:tab w:val="center" w:pos="4536"/>
        <w:tab w:val="right" w:pos="9072"/>
      </w:tabs>
    </w:pPr>
  </w:style>
  <w:style w:type="character" w:styleId="Hyperlink">
    <w:name w:val="Hyperlink"/>
    <w:rsid w:val="003B5E50"/>
    <w:rPr>
      <w:color w:val="0000FF"/>
      <w:u w:val="single"/>
    </w:rPr>
  </w:style>
  <w:style w:type="table" w:styleId="TableGrid">
    <w:name w:val="Table Grid"/>
    <w:basedOn w:val="TableNormal"/>
    <w:rsid w:val="003B5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A05D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70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si/popis2002/si/kaj_je_popis.html" TargetMode="Externa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stat.si" TargetMode="Externa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http://www.stat.si" TargetMode="External"/><Relationship Id="rId25" Type="http://schemas.openxmlformats.org/officeDocument/2006/relationships/hyperlink" Target="http://www.stat.si" TargetMode="External"/><Relationship Id="rId2" Type="http://schemas.openxmlformats.org/officeDocument/2006/relationships/styles" Target="styles.xml"/><Relationship Id="rId16" Type="http://schemas.openxmlformats.org/officeDocument/2006/relationships/hyperlink" Target="http://www.stat.si" TargetMode="External"/><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upload.wikimedia.org/wikipedia/commons/thumb/3/38/Obcine_Slovenija_2006_Ribnica.svg/800px-Obcine_Slovenija_2006_Ribnica.svg.png" TargetMode="External"/><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stat.si"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stat.si" TargetMode="External"/><Relationship Id="rId4" Type="http://schemas.openxmlformats.org/officeDocument/2006/relationships/webSettings" Target="webSettings.xml"/><Relationship Id="rId9" Type="http://schemas.openxmlformats.org/officeDocument/2006/relationships/hyperlink" Target="http://pxweb.stat.si/pxweb/Dialog/statfile2.asp"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2934</Words>
  <Characters>16729</Characters>
  <Application>Microsoft Office Word</Application>
  <DocSecurity>0</DocSecurity>
  <Lines>139</Lines>
  <Paragraphs>39</Paragraphs>
  <ScaleCrop>false</ScaleCrop>
  <Company/>
  <LinksUpToDate>false</LinksUpToDate>
  <CharactersWithSpaces>19624</CharactersWithSpaces>
  <SharedDoc>false</SharedDoc>
  <HLinks>
    <vt:vector size="48" baseType="variant">
      <vt:variant>
        <vt:i4>8257571</vt:i4>
      </vt:variant>
      <vt:variant>
        <vt:i4>24</vt:i4>
      </vt:variant>
      <vt:variant>
        <vt:i4>0</vt:i4>
      </vt:variant>
      <vt:variant>
        <vt:i4>5</vt:i4>
      </vt:variant>
      <vt:variant>
        <vt:lpwstr>http://www.stat.si/</vt:lpwstr>
      </vt:variant>
      <vt:variant>
        <vt:lpwstr/>
      </vt:variant>
      <vt:variant>
        <vt:i4>8257571</vt:i4>
      </vt:variant>
      <vt:variant>
        <vt:i4>21</vt:i4>
      </vt:variant>
      <vt:variant>
        <vt:i4>0</vt:i4>
      </vt:variant>
      <vt:variant>
        <vt:i4>5</vt:i4>
      </vt:variant>
      <vt:variant>
        <vt:lpwstr>http://www.stat.si/</vt:lpwstr>
      </vt:variant>
      <vt:variant>
        <vt:lpwstr/>
      </vt:variant>
      <vt:variant>
        <vt:i4>8257571</vt:i4>
      </vt:variant>
      <vt:variant>
        <vt:i4>18</vt:i4>
      </vt:variant>
      <vt:variant>
        <vt:i4>0</vt:i4>
      </vt:variant>
      <vt:variant>
        <vt:i4>5</vt:i4>
      </vt:variant>
      <vt:variant>
        <vt:lpwstr>http://www.stat.si/</vt:lpwstr>
      </vt:variant>
      <vt:variant>
        <vt:lpwstr/>
      </vt:variant>
      <vt:variant>
        <vt:i4>8257571</vt:i4>
      </vt:variant>
      <vt:variant>
        <vt:i4>15</vt:i4>
      </vt:variant>
      <vt:variant>
        <vt:i4>0</vt:i4>
      </vt:variant>
      <vt:variant>
        <vt:i4>5</vt:i4>
      </vt:variant>
      <vt:variant>
        <vt:lpwstr>http://www.stat.si/</vt:lpwstr>
      </vt:variant>
      <vt:variant>
        <vt:lpwstr/>
      </vt:variant>
      <vt:variant>
        <vt:i4>8257571</vt:i4>
      </vt:variant>
      <vt:variant>
        <vt:i4>12</vt:i4>
      </vt:variant>
      <vt:variant>
        <vt:i4>0</vt:i4>
      </vt:variant>
      <vt:variant>
        <vt:i4>5</vt:i4>
      </vt:variant>
      <vt:variant>
        <vt:lpwstr>http://www.stat.si/</vt:lpwstr>
      </vt:variant>
      <vt:variant>
        <vt:lpwstr/>
      </vt:variant>
      <vt:variant>
        <vt:i4>8257571</vt:i4>
      </vt:variant>
      <vt:variant>
        <vt:i4>9</vt:i4>
      </vt:variant>
      <vt:variant>
        <vt:i4>0</vt:i4>
      </vt:variant>
      <vt:variant>
        <vt:i4>5</vt:i4>
      </vt:variant>
      <vt:variant>
        <vt:lpwstr>http://www.stat.si/</vt:lpwstr>
      </vt:variant>
      <vt:variant>
        <vt:lpwstr/>
      </vt:variant>
      <vt:variant>
        <vt:i4>6946941</vt:i4>
      </vt:variant>
      <vt:variant>
        <vt:i4>3</vt:i4>
      </vt:variant>
      <vt:variant>
        <vt:i4>0</vt:i4>
      </vt:variant>
      <vt:variant>
        <vt:i4>5</vt:i4>
      </vt:variant>
      <vt:variant>
        <vt:lpwstr>http://pxweb.stat.si/pxweb/Dialog/statfile2.asp</vt:lpwstr>
      </vt:variant>
      <vt:variant>
        <vt:lpwstr/>
      </vt:variant>
      <vt:variant>
        <vt:i4>8257574</vt:i4>
      </vt:variant>
      <vt:variant>
        <vt:i4>0</vt:i4>
      </vt:variant>
      <vt:variant>
        <vt:i4>0</vt:i4>
      </vt:variant>
      <vt:variant>
        <vt:i4>5</vt:i4>
      </vt:variant>
      <vt:variant>
        <vt:lpwstr>http://www.stat.si/popis2002/si/kaj_je_popis.html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2019-05-27T12:33:00Z</dcterms:created>
  <dcterms:modified xsi:type="dcterms:W3CDTF">2019-05-27T12:33:00Z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