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096"/>
        <w:gridCol w:w="3096"/>
        <w:gridCol w:w="3096"/>
      </w:tblGrid>
      <w:tr w:rsidR="006C57B0" w14:paraId="38130535" w14:textId="77777777">
        <w:tc>
          <w:tcPr>
            <w:tcW w:w="3096" w:type="dxa"/>
          </w:tcPr>
          <w:p w14:paraId="23C72068" w14:textId="77777777" w:rsidR="006C57B0" w:rsidRDefault="00CB7F48">
            <w:pPr>
              <w:rPr>
                <w:u w:val="single"/>
              </w:rPr>
            </w:pPr>
            <w:bookmarkStart w:id="0" w:name="_GoBack"/>
            <w:bookmarkEnd w:id="0"/>
            <w:r>
              <w:rPr>
                <w:u w:val="single"/>
              </w:rPr>
              <w:t>SOLISTIČNI KONCERT</w:t>
            </w:r>
          </w:p>
        </w:tc>
        <w:tc>
          <w:tcPr>
            <w:tcW w:w="3096" w:type="dxa"/>
          </w:tcPr>
          <w:p w14:paraId="293303A2" w14:textId="77777777" w:rsidR="006C57B0" w:rsidRDefault="00CB7F48">
            <w:pPr>
              <w:jc w:val="center"/>
              <w:rPr>
                <w:u w:val="single"/>
              </w:rPr>
            </w:pPr>
            <w:r>
              <w:rPr>
                <w:u w:val="single"/>
              </w:rPr>
              <w:t>FUGA</w:t>
            </w:r>
            <w:r>
              <w:rPr>
                <w:color w:val="FFFFFF"/>
                <w:u w:val="single"/>
              </w:rPr>
              <w:t xml:space="preserve">    aa  a</w:t>
            </w:r>
          </w:p>
        </w:tc>
        <w:tc>
          <w:tcPr>
            <w:tcW w:w="3096" w:type="dxa"/>
          </w:tcPr>
          <w:p w14:paraId="251F2D21" w14:textId="77777777" w:rsidR="006C57B0" w:rsidRDefault="00CB7F48">
            <w:pPr>
              <w:pStyle w:val="Heading1"/>
            </w:pPr>
            <w:r>
              <w:t>CONCERTO GROSSO</w:t>
            </w:r>
          </w:p>
        </w:tc>
      </w:tr>
    </w:tbl>
    <w:p w14:paraId="4CBBA143" w14:textId="77777777" w:rsidR="006C57B0" w:rsidRDefault="00860E66">
      <w:r>
        <w:rPr>
          <w:noProof/>
          <w:u w:val="single"/>
        </w:rPr>
        <w:pict w14:anchorId="3E425E2C">
          <v:line id="_x0000_s1027" style="position:absolute;z-index:251656192;mso-position-horizontal:absolute;mso-position-horizontal-relative:text;mso-position-vertical:absolute;mso-position-vertical-relative:text" from="8.35pt,4.05pt" to="8.35pt,60.65pt" o:allowincell="f"/>
        </w:pict>
      </w:r>
      <w:r>
        <w:rPr>
          <w:noProof/>
          <w:u w:val="single"/>
        </w:rPr>
        <w:pict w14:anchorId="1323A610">
          <v:line id="_x0000_s1029" style="position:absolute;z-index:251657216;mso-position-horizontal:absolute;mso-position-horizontal-relative:text;mso-position-vertical:absolute;mso-position-vertical-relative:text" from="209.95pt,3.05pt" to="209.95pt,161.45pt" o:allowincell="f">
            <v:stroke endarrow="block"/>
          </v:line>
        </w:pict>
      </w:r>
      <w:r>
        <w:rPr>
          <w:noProof/>
          <w:u w:val="single"/>
        </w:rPr>
        <w:pict w14:anchorId="59A672C0">
          <v:shapetype id="_x0000_t202" coordsize="21600,21600" o:spt="202" path="m,l,21600r21600,l21600,xe">
            <v:stroke joinstyle="miter"/>
            <v:path gradientshapeok="t" o:connecttype="rect"/>
          </v:shapetype>
          <v:shape id="_x0000_s1031" type="#_x0000_t202" style="position:absolute;margin-left:37.15pt;margin-top:29.95pt;width:396pt;height:93.6pt;z-index:251658240;mso-position-horizontal:absolute;mso-position-horizontal-relative:text;mso-position-vertical:absolute;mso-position-vertical-relative:text" o:allowincell="f">
            <v:textbox style="mso-next-textbox:#_x0000_s1031">
              <w:txbxContent>
                <w:p w14:paraId="6D2125E9" w14:textId="77777777" w:rsidR="006C57B0" w:rsidRDefault="00CB7F48">
                  <w:r>
                    <w:t xml:space="preserve">Je kompozicijska oblika koncerta, ki je izšla iz </w:t>
                  </w:r>
                  <w:r>
                    <w:rPr>
                      <w:i/>
                    </w:rPr>
                    <w:t xml:space="preserve">concerta grossa </w:t>
                  </w:r>
                  <w:r>
                    <w:t xml:space="preserve">in je v 18. stoletju  prevzela tristavčno sonatno obliko: </w:t>
                  </w:r>
                  <w:r>
                    <w:rPr>
                      <w:i/>
                    </w:rPr>
                    <w:t>allegro – andante – allegro</w:t>
                  </w:r>
                  <w:r>
                    <w:t xml:space="preserve"> (hitro – počasi - hitro).</w:t>
                  </w:r>
                </w:p>
                <w:p w14:paraId="2BB85867" w14:textId="77777777" w:rsidR="006C57B0" w:rsidRDefault="00CB7F48">
                  <w:r>
                    <w:t>Oblika koncerta je dialog solista z orkestrom: izmenjavanje (»tekmovanje«) solista z orkestrom.</w:t>
                  </w:r>
                </w:p>
                <w:p w14:paraId="5A242B87" w14:textId="77777777" w:rsidR="006C57B0" w:rsidRDefault="00CB7F48">
                  <w:r>
                    <w:t xml:space="preserve">Prvi solistični koncert je objavil </w:t>
                  </w:r>
                  <w:r>
                    <w:rPr>
                      <w:b/>
                    </w:rPr>
                    <w:t>Giuseppe Torelli</w:t>
                  </w:r>
                  <w:r>
                    <w:t xml:space="preserve"> (1698). Obliko je utrdil </w:t>
                  </w:r>
                  <w:r>
                    <w:rPr>
                      <w:b/>
                    </w:rPr>
                    <w:t>Antonio Vivaldi</w:t>
                  </w:r>
                  <w:r>
                    <w:t xml:space="preserve">. Njegovi solokoncerti so se pojavili okoli 1710. leta. Obliko je nato takoj povzel </w:t>
                  </w:r>
                  <w:r>
                    <w:rPr>
                      <w:b/>
                    </w:rPr>
                    <w:t>J. S. Bach</w:t>
                  </w:r>
                  <w:r>
                    <w:t xml:space="preserve">. Klasično popolnost solističnemu  koncertu sta dala </w:t>
                  </w:r>
                  <w:r>
                    <w:rPr>
                      <w:b/>
                    </w:rPr>
                    <w:t>Mozart</w:t>
                  </w:r>
                  <w:r>
                    <w:t xml:space="preserve"> in </w:t>
                  </w:r>
                  <w:r>
                    <w:rPr>
                      <w:b/>
                    </w:rPr>
                    <w:t>Beethoven</w:t>
                  </w:r>
                  <w:r>
                    <w:t>.</w:t>
                  </w:r>
                </w:p>
              </w:txbxContent>
            </v:textbox>
          </v:shape>
        </w:pict>
      </w:r>
    </w:p>
    <w:p w14:paraId="55266D77" w14:textId="6896A6C5" w:rsidR="006C57B0" w:rsidRDefault="00860E66">
      <w:r>
        <w:rPr>
          <w:noProof/>
        </w:rPr>
        <w:pict w14:anchorId="7E08913E">
          <v:shape id="_x0000_s1038" type="#_x0000_t202" style="position:absolute;margin-left:8.35pt;margin-top:315.55pt;width:280.8pt;height:181pt;z-index:251661312;mso-position-horizontal:absolute;mso-position-horizontal-relative:text;mso-position-vertical:absolute;mso-position-vertical-relative:text" o:allowincell="f">
            <v:textbox>
              <w:txbxContent>
                <w:p w14:paraId="09E2CBFC" w14:textId="77777777" w:rsidR="006C57B0" w:rsidRDefault="00CB7F48">
                  <w:r>
                    <w:t xml:space="preserve">Tudi baročni koncerti-concerti grossi-veliki koncerti sprva ni imela samostojne oblike. Bila je podobna suita, to so nizi med seboj kontrastni stavki, concerto grosso niso bile stilizirane plesne skladbe, ampak glasba različnih razpoloženj. Concerto grosso povdarja virtuoznost solista in menjave med solistom in orkestrom. </w:t>
                  </w:r>
                </w:p>
                <w:p w14:paraId="5CB82EAE" w14:textId="77777777" w:rsidR="006C57B0" w:rsidRDefault="006C57B0"/>
                <w:p w14:paraId="20E3A287" w14:textId="77777777" w:rsidR="006C57B0" w:rsidRDefault="00CB7F48">
                  <w:r>
                    <w:t xml:space="preserve">Menjave so dvojne: </w:t>
                  </w:r>
                </w:p>
                <w:p w14:paraId="57DEDC4C" w14:textId="77777777" w:rsidR="006C57B0" w:rsidRDefault="00CB7F48">
                  <w:pPr>
                    <w:numPr>
                      <w:ilvl w:val="0"/>
                      <w:numId w:val="2"/>
                    </w:numPr>
                  </w:pPr>
                  <w:r>
                    <w:t>igra manjše izbrane skupine – mali koncert concertino proti močneje zasedeni skupini concerto grosso – veliki koncert</w:t>
                  </w:r>
                </w:p>
                <w:p w14:paraId="1BB645D9" w14:textId="77777777" w:rsidR="006C57B0" w:rsidRDefault="00CB7F48">
                  <w:pPr>
                    <w:numPr>
                      <w:ilvl w:val="0"/>
                      <w:numId w:val="2"/>
                    </w:numPr>
                  </w:pPr>
                  <w:r>
                    <w:t xml:space="preserve">igra enega izvajalca proti orkestru – tutti </w:t>
                  </w:r>
                </w:p>
                <w:p w14:paraId="3AA2616F" w14:textId="77777777" w:rsidR="006C57B0" w:rsidRDefault="006C57B0"/>
                <w:p w14:paraId="0280C3BB" w14:textId="77777777" w:rsidR="006C57B0" w:rsidRDefault="00CB7F48">
                  <w:r>
                    <w:t xml:space="preserve">V obeh primerih teče tekmovanje dvogovor, igrajo zase ali skupaj, zato nastajajo nasprotja med solo in tutti, napetosti in sprostitvi. </w:t>
                  </w:r>
                </w:p>
                <w:p w14:paraId="20E19FB2" w14:textId="77777777" w:rsidR="006C57B0" w:rsidRDefault="006C57B0"/>
                <w:p w14:paraId="0AB84371" w14:textId="77777777" w:rsidR="006C57B0" w:rsidRDefault="006C57B0"/>
              </w:txbxContent>
            </v:textbox>
          </v:shape>
        </w:pict>
      </w:r>
      <w:r>
        <w:rPr>
          <w:noProof/>
        </w:rPr>
        <w:pict w14:anchorId="29B8FF12">
          <v:shape id="_x0000_s1034" type="#_x0000_t202" style="position:absolute;margin-left:109.15pt;margin-top:149.95pt;width:324pt;height:129.6pt;z-index:251659264;mso-position-horizontal:absolute;mso-position-horizontal-relative:text;mso-position-vertical:absolute;mso-position-vertical-relative:text" o:allowincell="f">
            <v:textbox>
              <w:txbxContent>
                <w:p w14:paraId="4A347750" w14:textId="77777777" w:rsidR="006C57B0" w:rsidRDefault="00CB7F48">
                  <w:pPr>
                    <w:rPr>
                      <w:b/>
                    </w:rPr>
                  </w:pPr>
                  <w:r>
                    <w:t>Fuga [lat. fuga -  beg] je polifona skladba z eno temo (</w:t>
                  </w:r>
                  <w:r>
                    <w:rPr>
                      <w:noProof/>
                    </w:rPr>
                    <w:sym w:font="Wingdings" w:char="F0E0"/>
                  </w:r>
                  <w:r>
                    <w:t xml:space="preserve"> </w:t>
                  </w:r>
                  <w:r>
                    <w:rPr>
                      <w:i/>
                    </w:rPr>
                    <w:t>dux</w:t>
                  </w:r>
                  <w:r>
                    <w:t xml:space="preserve"> – ime za temo; </w:t>
                  </w:r>
                  <w:r>
                    <w:rPr>
                      <w:i/>
                    </w:rPr>
                    <w:t xml:space="preserve">comes </w:t>
                  </w:r>
                  <w:r>
                    <w:t xml:space="preserve">– odgovor s temo v fugi). Fuga je nastala v 17. stoletju iz </w:t>
                  </w:r>
                  <w:r>
                    <w:rPr>
                      <w:i/>
                    </w:rPr>
                    <w:t xml:space="preserve">ricercara </w:t>
                  </w:r>
                  <w:r>
                    <w:t xml:space="preserve">(polifona instrumentalna glasba iz 16./17. Stoletja) in </w:t>
                  </w:r>
                  <w:r>
                    <w:rPr>
                      <w:i/>
                    </w:rPr>
                    <w:t xml:space="preserve">kancone </w:t>
                  </w:r>
                  <w:r>
                    <w:t xml:space="preserve">(nastala iz chancona). Klasično popolnost ji je dal </w:t>
                  </w:r>
                  <w:r>
                    <w:rPr>
                      <w:b/>
                    </w:rPr>
                    <w:t>J. S. Bach.</w:t>
                  </w:r>
                </w:p>
                <w:p w14:paraId="59D20F21" w14:textId="77777777" w:rsidR="006C57B0" w:rsidRDefault="00CB7F48">
                  <w:r>
                    <w:t xml:space="preserve">Stalni deli v fugi: -     </w:t>
                  </w:r>
                  <w:r>
                    <w:rPr>
                      <w:i/>
                    </w:rPr>
                    <w:t xml:space="preserve">ekspozicija </w:t>
                  </w:r>
                  <w:r>
                    <w:t>(uvodni odstavek)</w:t>
                  </w:r>
                </w:p>
                <w:p w14:paraId="6A9B415F" w14:textId="77777777" w:rsidR="006C57B0" w:rsidRDefault="00CB7F48">
                  <w:pPr>
                    <w:numPr>
                      <w:ilvl w:val="0"/>
                      <w:numId w:val="1"/>
                    </w:numPr>
                  </w:pPr>
                  <w:r>
                    <w:rPr>
                      <w:i/>
                    </w:rPr>
                    <w:t xml:space="preserve">izpeljava </w:t>
                  </w:r>
                  <w:r>
                    <w:t>(lahko jih je več)</w:t>
                  </w:r>
                </w:p>
                <w:p w14:paraId="6127D84A" w14:textId="77777777" w:rsidR="006C57B0" w:rsidRDefault="00CB7F48">
                  <w:pPr>
                    <w:numPr>
                      <w:ilvl w:val="0"/>
                      <w:numId w:val="1"/>
                    </w:numPr>
                  </w:pPr>
                  <w:r>
                    <w:rPr>
                      <w:i/>
                    </w:rPr>
                    <w:t xml:space="preserve">coda </w:t>
                  </w:r>
                  <w:r>
                    <w:t>(sklepna izpeljava)</w:t>
                  </w:r>
                </w:p>
                <w:p w14:paraId="50A1759C" w14:textId="77777777" w:rsidR="006C57B0" w:rsidRDefault="00CB7F48">
                  <w:pPr>
                    <w:numPr>
                      <w:ilvl w:val="0"/>
                      <w:numId w:val="1"/>
                    </w:numPr>
                  </w:pPr>
                  <w:r>
                    <w:rPr>
                      <w:i/>
                    </w:rPr>
                    <w:t>strette</w:t>
                  </w:r>
                  <w:r>
                    <w:t xml:space="preserve"> (imitacijska izpeljava 1. ali 2. teme v fugi)</w:t>
                  </w:r>
                </w:p>
                <w:p w14:paraId="5D29BCA2" w14:textId="77777777" w:rsidR="006C57B0" w:rsidRDefault="00CB7F48">
                  <w:pPr>
                    <w:numPr>
                      <w:ilvl w:val="0"/>
                      <w:numId w:val="1"/>
                    </w:numPr>
                  </w:pPr>
                  <w:r>
                    <w:t xml:space="preserve">vmes so še </w:t>
                  </w:r>
                  <w:r>
                    <w:rPr>
                      <w:i/>
                    </w:rPr>
                    <w:t>medigre</w:t>
                  </w:r>
                </w:p>
                <w:p w14:paraId="25368053" w14:textId="77777777" w:rsidR="006C57B0" w:rsidRDefault="00CB7F48">
                  <w:r>
                    <w:t xml:space="preserve">Dvojna fuga ima dve, trojna fuga pa tri teme. </w:t>
                  </w:r>
                </w:p>
              </w:txbxContent>
            </v:textbox>
          </v:shape>
        </w:pict>
      </w:r>
      <w:r>
        <w:rPr>
          <w:noProof/>
        </w:rPr>
        <w:pict w14:anchorId="391E1FA5">
          <v:line id="_x0000_s1026" style="position:absolute;z-index:251655168;mso-position-horizontal:absolute;mso-position-horizontal-relative:text;mso-position-vertical:absolute;mso-position-vertical-relative:text" from="8.35pt,49.15pt" to="37.15pt,49.15pt" o:allowincell="f">
            <v:stroke endarrow="block"/>
          </v:line>
        </w:pict>
      </w:r>
      <w:r>
        <w:rPr>
          <w:noProof/>
        </w:rPr>
        <w:pict w14:anchorId="53B0C911">
          <v:line id="_x0000_s1037" style="position:absolute;flip:x;z-index:251660288;mso-position-horizontal:absolute;mso-position-horizontal-relative:text;mso-position-vertical:absolute;mso-position-vertical-relative:text" from="289.15pt,330.95pt" to="375.55pt,330.95pt" o:allowincell="f">
            <v:stroke endarrow="block"/>
          </v:line>
        </w:pict>
      </w:r>
      <w:r>
        <w:rPr>
          <w:noProof/>
        </w:rPr>
        <w:pict w14:anchorId="401E7FFF">
          <v:line id="_x0000_s1036" style="position:absolute;z-index:251654144;mso-position-horizontal:absolute;mso-position-horizontal-relative:text;mso-position-vertical:absolute;mso-position-vertical-relative:text" from="375.55pt,-7.45pt" to="375.55pt,330.95pt" o:allowincell="f"/>
        </w:pict>
      </w:r>
    </w:p>
    <w:sectPr w:rsidR="006C57B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B6D80"/>
    <w:multiLevelType w:val="singleLevel"/>
    <w:tmpl w:val="2AB8432C"/>
    <w:lvl w:ilvl="0">
      <w:numFmt w:val="bullet"/>
      <w:lvlText w:val="-"/>
      <w:lvlJc w:val="left"/>
      <w:pPr>
        <w:tabs>
          <w:tab w:val="num" w:pos="1770"/>
        </w:tabs>
        <w:ind w:left="1770" w:hanging="360"/>
      </w:pPr>
      <w:rPr>
        <w:rFonts w:hint="default"/>
      </w:rPr>
    </w:lvl>
  </w:abstractNum>
  <w:abstractNum w:abstractNumId="1" w15:restartNumberingAfterBreak="0">
    <w:nsid w:val="49CF3F7B"/>
    <w:multiLevelType w:val="singleLevel"/>
    <w:tmpl w:val="21BCB038"/>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7F48"/>
    <w:rsid w:val="006C57B0"/>
    <w:rsid w:val="00860E66"/>
    <w:rsid w:val="00863046"/>
    <w:rsid w:val="00CB7F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36BAAC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