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72" w:rsidRDefault="00E734F1" w:rsidP="00E734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34F1">
        <w:rPr>
          <w:b/>
          <w:sz w:val="28"/>
          <w:szCs w:val="28"/>
        </w:rPr>
        <w:t>MENIČNI IZRAZI</w:t>
      </w:r>
    </w:p>
    <w:p w:rsidR="00E734F1" w:rsidRDefault="00E734F1" w:rsidP="00E734F1">
      <w:pPr>
        <w:jc w:val="center"/>
        <w:rPr>
          <w:b/>
          <w:sz w:val="28"/>
          <w:szCs w:val="28"/>
        </w:rPr>
      </w:pP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addiritura menica</w:t>
      </w:r>
      <w:r>
        <w:t xml:space="preserve"> – menica, ki se izda v regresnem postopku in je trasirana neposredno na regresata, od katerega zahtevamo plačilo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adresa</w:t>
      </w:r>
      <w:r>
        <w:t xml:space="preserve"> – menični naslov; oseba, imenovana v menici, ki naj se vpraša, ali bi sprejela ali plačala menico, da se ji reši čast, da ne bi prišla v silo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adresant</w:t>
      </w:r>
      <w:r>
        <w:t xml:space="preserve"> – kdor pozove na plačilo za čast (naslovitelj)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adresat</w:t>
      </w:r>
      <w:r>
        <w:t xml:space="preserve"> – oseba, ki je pozvana na plačilo za čast (naslovljenec, rezervni trasat)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 xml:space="preserve">akcept </w:t>
      </w:r>
      <w:r>
        <w:t>– pisna izjava trasata, daje sprejel poziv na plačilo menične vsote, kar potrdi s podpisom na menici (navadno levo poprek menice)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akcept za čast</w:t>
      </w:r>
      <w:r>
        <w:t xml:space="preserve"> – zaveza intervenienta, da bo plača menico, če je v menici imenovani plačnik ob dospelosti ne bi plačal v celoti ali delno – solidarna zaveza</w:t>
      </w:r>
    </w:p>
    <w:p w:rsidR="00E734F1" w:rsidRDefault="00E734F1" w:rsidP="00E734F1">
      <w:pPr>
        <w:numPr>
          <w:ilvl w:val="0"/>
          <w:numId w:val="1"/>
        </w:numPr>
        <w:jc w:val="both"/>
      </w:pPr>
      <w:r w:rsidRPr="00E734F1">
        <w:rPr>
          <w:b/>
        </w:rPr>
        <w:t>akceptant – sprejemnik</w:t>
      </w:r>
      <w:r>
        <w:t xml:space="preserve"> – trasat, ki sprejme poziv na plačilo menice in to potrdi na menici s svojim podpisom. S podpisom menice postane trasat glavni menični dolžnik</w:t>
      </w:r>
    </w:p>
    <w:p w:rsidR="00E734F1" w:rsidRDefault="0084683F" w:rsidP="00E734F1">
      <w:pPr>
        <w:numPr>
          <w:ilvl w:val="0"/>
          <w:numId w:val="1"/>
        </w:numPr>
        <w:jc w:val="both"/>
      </w:pPr>
      <w:r w:rsidRPr="0084683F">
        <w:rPr>
          <w:b/>
        </w:rPr>
        <w:t>akceptirana menica</w:t>
      </w:r>
      <w:r>
        <w:t xml:space="preserve"> – menica s trasatovim podpisom</w:t>
      </w:r>
    </w:p>
    <w:p w:rsidR="0084683F" w:rsidRDefault="0084683F" w:rsidP="00E734F1">
      <w:pPr>
        <w:numPr>
          <w:ilvl w:val="0"/>
          <w:numId w:val="1"/>
        </w:numPr>
        <w:jc w:val="both"/>
      </w:pPr>
      <w:r w:rsidRPr="0084683F">
        <w:rPr>
          <w:b/>
        </w:rPr>
        <w:t>akceptni kredit</w:t>
      </w:r>
      <w:r>
        <w:t xml:space="preserve"> – dajo banke strankam s tem, da akceptirajo njihove menice. Z bančnim akceptom menice v poslovnem svetu pridobijo vrednost, ker postanejo sposobne za diskotiranje</w:t>
      </w:r>
    </w:p>
    <w:p w:rsidR="0084683F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>aktivna in pasivna menična sposobnost</w:t>
      </w:r>
      <w:r>
        <w:t xml:space="preserve"> – sposobnost pridobiti menične pravice in prevzeti menične obveznosti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>alonža</w:t>
      </w:r>
      <w:r>
        <w:t xml:space="preserve"> – list papirja, ki se prilepi menici, če zmanjka prostora za indosamente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>amortizacija</w:t>
      </w:r>
      <w:r>
        <w:t xml:space="preserve"> – postopek za razglasitev menice, ki je prešla (bila je izgubljena, ukradena, uničena…), za neveljavno; sodna odločba o amortizaciji nadomesti prešlo menico, iz obveznosti izpadejo v takem primeru indosanti in avalisti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 xml:space="preserve">analfabet </w:t>
      </w:r>
      <w:r>
        <w:t>– daje menične izjave lahko z znakom, ki ga mora overoviti sodišče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>anomalno nasledstvo – sukcesija</w:t>
      </w:r>
      <w:r>
        <w:t xml:space="preserve"> – vsak drugačen prehod meničnih pravic, razen z indosamentom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>asignacija</w:t>
      </w:r>
      <w:r>
        <w:t xml:space="preserve"> – nakaznica, pisni nalog, s katerim poziva ena oseba drugo, da izplača neki tretji osebi določeno vsoto denarja</w:t>
      </w:r>
    </w:p>
    <w:p w:rsidR="00726BEE" w:rsidRDefault="00726BEE" w:rsidP="00E734F1">
      <w:pPr>
        <w:numPr>
          <w:ilvl w:val="0"/>
          <w:numId w:val="1"/>
        </w:numPr>
        <w:jc w:val="both"/>
      </w:pPr>
      <w:r w:rsidRPr="00726BEE">
        <w:rPr>
          <w:b/>
        </w:rPr>
        <w:t xml:space="preserve">asignant </w:t>
      </w:r>
      <w:r>
        <w:t xml:space="preserve">– tisti, ki izstavi asignacijo 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asignat </w:t>
      </w:r>
      <w:r>
        <w:t>– oseba, ki je pozvana, da plača znesek, naveden v asignaciji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asignator </w:t>
      </w:r>
      <w:r>
        <w:t>– oseba v katere korist je bila izstavljena asignacija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aval </w:t>
      </w:r>
      <w:r>
        <w:t>– menično poroštvo za plačilo meničnega dolga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avalist </w:t>
      </w:r>
      <w:r>
        <w:t xml:space="preserve">– menični porok, ki odgovarja tako kot tisti, za katerega jamči 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avalirana menica </w:t>
      </w:r>
      <w:r>
        <w:t>– menica s podpisom avalista – poroka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bagatelna menica </w:t>
      </w:r>
      <w:r>
        <w:t>– menični znesek ne presega 5 sit</w:t>
      </w:r>
    </w:p>
    <w:p w:rsidR="00726BEE" w:rsidRDefault="00726BEE" w:rsidP="00E734F1">
      <w:pPr>
        <w:numPr>
          <w:ilvl w:val="0"/>
          <w:numId w:val="1"/>
        </w:numPr>
        <w:jc w:val="both"/>
      </w:pPr>
      <w:r>
        <w:rPr>
          <w:b/>
        </w:rPr>
        <w:t xml:space="preserve">bianko akcept </w:t>
      </w:r>
      <w:r>
        <w:t>– podpis na menici, na kateri še manjkajo bistvene sestavine</w:t>
      </w:r>
    </w:p>
    <w:p w:rsidR="00490FC4" w:rsidRDefault="00490FC4" w:rsidP="00E734F1">
      <w:pPr>
        <w:numPr>
          <w:ilvl w:val="0"/>
          <w:numId w:val="1"/>
        </w:numPr>
        <w:jc w:val="both"/>
      </w:pPr>
      <w:r>
        <w:rPr>
          <w:b/>
        </w:rPr>
        <w:t>bianko menica</w:t>
      </w:r>
      <w:r>
        <w:t xml:space="preserve"> – listina, ki ob izdaji nima bistvenih sestavin in se izroči imetniku s pooblastilom, da jo bo kasneje izpolnil skladno s sporazumom: razlikovati je treba menice, ki se izdajo namenoma ali po pomoti kot popolne menice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cambio </w:t>
      </w:r>
      <w:r>
        <w:t>– it. menica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campsor </w:t>
      </w:r>
      <w:r>
        <w:t>– srednjeveški menjalec denarja, ki je tudi kupoval in prodajal menice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cesija </w:t>
      </w:r>
      <w:r>
        <w:t>– izjava, s katero se odstopa kaka terjatev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cedent </w:t>
      </w:r>
      <w:r>
        <w:t>– tisti, ki izvrši cesijo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cesionar </w:t>
      </w:r>
      <w:r>
        <w:t>– tisti, v katerega korist se izvrši cesija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cessio legis </w:t>
      </w:r>
      <w:r>
        <w:t>– zakonski odstop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 xml:space="preserve">cirkulacijska funkcija indosamenta </w:t>
      </w:r>
      <w:r>
        <w:t>– z indosamentom postane menica sredstvo kroženja, z njim jo lahko prenašamo, razen če vsebuje »rekta klavzulo«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lastRenderedPageBreak/>
        <w:t xml:space="preserve">cirkulacijska funkcija menice – </w:t>
      </w:r>
      <w:r w:rsidRPr="00490FC4">
        <w:t>menica kot taka je prenosljiva in rabi zato kot denarno nadomestilo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>čas akcepta menice –</w:t>
      </w:r>
      <w:r>
        <w:t xml:space="preserve"> mora biti naveden samo pri povpoglednicah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>čas izdaje menice –</w:t>
      </w:r>
      <w:r>
        <w:t xml:space="preserve"> bistvena menična sestavina</w:t>
      </w:r>
    </w:p>
    <w:p w:rsidR="00490FC4" w:rsidRDefault="00490FC4" w:rsidP="00490FC4">
      <w:pPr>
        <w:numPr>
          <w:ilvl w:val="0"/>
          <w:numId w:val="1"/>
        </w:numPr>
        <w:jc w:val="both"/>
      </w:pPr>
      <w:r>
        <w:rPr>
          <w:b/>
        </w:rPr>
        <w:t>čas obtoka menice –</w:t>
      </w:r>
      <w:r>
        <w:t xml:space="preserve"> čas od dneva izdaje do dneva dospelosti menice</w:t>
      </w:r>
    </w:p>
    <w:p w:rsidR="00273CA9" w:rsidRDefault="00273CA9" w:rsidP="00273CA9">
      <w:pPr>
        <w:numPr>
          <w:ilvl w:val="0"/>
          <w:numId w:val="1"/>
        </w:numPr>
        <w:jc w:val="both"/>
      </w:pPr>
      <w:r>
        <w:rPr>
          <w:b/>
        </w:rPr>
        <w:t xml:space="preserve">častno plačilo – </w:t>
      </w:r>
      <w:r w:rsidRPr="00273CA9">
        <w:t>plačilo menice v sili po honorantu ali intervenientu (le proti izročitvi protesta in menice z ugotovitvijo, da je trasat odklonil plačilo)</w:t>
      </w:r>
    </w:p>
    <w:p w:rsidR="00273CA9" w:rsidRDefault="00273CA9" w:rsidP="00273CA9">
      <w:pPr>
        <w:numPr>
          <w:ilvl w:val="0"/>
          <w:numId w:val="1"/>
        </w:numPr>
        <w:jc w:val="both"/>
      </w:pPr>
      <w:r>
        <w:rPr>
          <w:b/>
        </w:rPr>
        <w:t>dan akcepta menice –</w:t>
      </w:r>
      <w:r>
        <w:t xml:space="preserve"> dan akcepta je treba navesti le pri povpoglednici zaradi določitve dospelosti</w:t>
      </w:r>
    </w:p>
    <w:p w:rsidR="00273CA9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dan izdaje menice –</w:t>
      </w:r>
      <w:r>
        <w:t xml:space="preserve"> bistvena menična sestavina (zaradi dospelosti, prezentacije, preložitve v plačilo)</w:t>
      </w:r>
    </w:p>
    <w:p w:rsidR="00FD0274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dan protesta menice –</w:t>
      </w:r>
      <w:r>
        <w:t xml:space="preserve"> dan, ko je bila menica protestirana; to je lahko dan odklonitve kake menične obveznosti ali pa eden izmed dveh delavnikov, ki prideta takoj za njim</w:t>
      </w:r>
    </w:p>
    <w:p w:rsidR="00FD0274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datiran kacept in datiranje akcepta –</w:t>
      </w:r>
      <w:r>
        <w:t xml:space="preserve"> akcept, ki nosi datum, kar je potrebno le pri povpoglednicah</w:t>
      </w:r>
    </w:p>
    <w:p w:rsidR="00FD0274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deliberacijski rok .</w:t>
      </w:r>
      <w:r>
        <w:t xml:space="preserve"> enodnevni odlog za premislek, ko trasat zahteva, da se mu predloži menica v akcept še enkrat naslednji dan po prvi predložitvi</w:t>
      </w:r>
    </w:p>
    <w:p w:rsidR="00FD0274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delni akcept –</w:t>
      </w:r>
      <w:r>
        <w:t xml:space="preserve"> zaradi varovanja regresnih pravic je potreben protest za neakceptirani del</w:t>
      </w:r>
    </w:p>
    <w:p w:rsidR="00FD0274" w:rsidRDefault="00FD0274" w:rsidP="00273CA9">
      <w:pPr>
        <w:numPr>
          <w:ilvl w:val="0"/>
          <w:numId w:val="1"/>
        </w:numPr>
        <w:jc w:val="both"/>
      </w:pPr>
      <w:r>
        <w:rPr>
          <w:b/>
        </w:rPr>
        <w:t>delni regres –</w:t>
      </w:r>
      <w:r>
        <w:t xml:space="preserve"> regres za ostali del meničnega dolga, če je plačal menični zavezanec samo del dolga</w:t>
      </w:r>
    </w:p>
    <w:p w:rsidR="00FD0274" w:rsidRDefault="00FD0274" w:rsidP="00273CA9">
      <w:pPr>
        <w:numPr>
          <w:ilvl w:val="0"/>
          <w:numId w:val="1"/>
        </w:numPr>
        <w:jc w:val="both"/>
      </w:pPr>
      <w:r w:rsidRPr="0057095E">
        <w:rPr>
          <w:b/>
        </w:rPr>
        <w:t>deponiranje menične vsote pri sodišču</w:t>
      </w:r>
      <w:r>
        <w:t xml:space="preserve"> </w:t>
      </w:r>
      <w:r w:rsidR="0057095E">
        <w:t>–</w:t>
      </w:r>
      <w:r>
        <w:t xml:space="preserve"> </w:t>
      </w:r>
      <w:r w:rsidR="0057095E">
        <w:t>če menični upnik na dan dospelosti ne zahteva plačila menice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 xml:space="preserve">depotne – založne menice – </w:t>
      </w:r>
      <w:r>
        <w:t>menice, ki jih polagamo kot kavcijo; navadno so akceptirane od banke in vsebujejo rekta klavzulo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>detentor –</w:t>
      </w:r>
      <w:r>
        <w:t xml:space="preserve"> kdor ima menico v rokah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>deviza, devizna menica –</w:t>
      </w:r>
      <w:r>
        <w:t xml:space="preserve"> menica, ki se glasi na tujo valuto; tudi dolg ali terjatev v tujini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>direktna menica –</w:t>
      </w:r>
      <w:r>
        <w:t xml:space="preserve"> menica, ki jo remitira trasant za svoj račun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>direktna rimesa –</w:t>
      </w:r>
      <w:r>
        <w:t xml:space="preserve"> menica, ki jo predloži remitent dolžniku v plačilo</w:t>
      </w:r>
    </w:p>
    <w:p w:rsidR="0057095E" w:rsidRDefault="0057095E" w:rsidP="00273CA9">
      <w:pPr>
        <w:numPr>
          <w:ilvl w:val="0"/>
          <w:numId w:val="1"/>
        </w:numPr>
        <w:jc w:val="both"/>
      </w:pPr>
      <w:r>
        <w:rPr>
          <w:b/>
        </w:rPr>
        <w:t>direktna trasa –</w:t>
      </w:r>
      <w:r>
        <w:t xml:space="preserve"> trasant izda menico za svoj račun</w:t>
      </w:r>
    </w:p>
    <w:p w:rsidR="0057095E" w:rsidRDefault="0057095E" w:rsidP="0057095E">
      <w:pPr>
        <w:numPr>
          <w:ilvl w:val="0"/>
          <w:numId w:val="1"/>
        </w:numPr>
        <w:jc w:val="both"/>
      </w:pPr>
      <w:r w:rsidRPr="0057095E">
        <w:rPr>
          <w:b/>
        </w:rPr>
        <w:t>diskont – eskont</w:t>
      </w:r>
      <w:r>
        <w:t xml:space="preserve"> – obresti, ki se odbijejo pri prodaji menice</w:t>
      </w:r>
    </w:p>
    <w:p w:rsidR="0057095E" w:rsidRDefault="0057095E" w:rsidP="0057095E">
      <w:pPr>
        <w:numPr>
          <w:ilvl w:val="0"/>
          <w:numId w:val="1"/>
        </w:numPr>
        <w:jc w:val="both"/>
      </w:pPr>
      <w:r>
        <w:rPr>
          <w:b/>
        </w:rPr>
        <w:t xml:space="preserve">diskontna mera </w:t>
      </w:r>
      <w:r>
        <w:t>– obrestna mera, po kateri se diskontirajo menice</w:t>
      </w:r>
    </w:p>
    <w:p w:rsidR="0057095E" w:rsidRDefault="0057095E" w:rsidP="0057095E">
      <w:pPr>
        <w:numPr>
          <w:ilvl w:val="0"/>
          <w:numId w:val="1"/>
        </w:numPr>
        <w:jc w:val="both"/>
      </w:pPr>
      <w:r>
        <w:rPr>
          <w:b/>
        </w:rPr>
        <w:t xml:space="preserve">diskontna nota </w:t>
      </w:r>
      <w:r>
        <w:t>– pismo, s katerim se pošlje banki menica v diskontiranje</w:t>
      </w:r>
    </w:p>
    <w:p w:rsidR="0057095E" w:rsidRDefault="0057095E" w:rsidP="0057095E">
      <w:pPr>
        <w:numPr>
          <w:ilvl w:val="0"/>
          <w:numId w:val="1"/>
        </w:numPr>
        <w:jc w:val="both"/>
      </w:pPr>
      <w:r>
        <w:rPr>
          <w:b/>
        </w:rPr>
        <w:t xml:space="preserve">diskontne rimese </w:t>
      </w:r>
      <w:r>
        <w:t>– menice, izročene banki v diskontiranje</w:t>
      </w:r>
    </w:p>
    <w:p w:rsidR="0057095E" w:rsidRDefault="0057095E" w:rsidP="0057095E">
      <w:pPr>
        <w:numPr>
          <w:ilvl w:val="0"/>
          <w:numId w:val="1"/>
        </w:numPr>
        <w:jc w:val="both"/>
      </w:pPr>
      <w:r>
        <w:rPr>
          <w:b/>
        </w:rPr>
        <w:t xml:space="preserve">diskontni kredit </w:t>
      </w:r>
      <w:r>
        <w:t>– bančni kredit v diskontirane menice</w:t>
      </w:r>
    </w:p>
    <w:p w:rsidR="0057095E" w:rsidRDefault="0057095E" w:rsidP="003D3C03">
      <w:pPr>
        <w:numPr>
          <w:ilvl w:val="0"/>
          <w:numId w:val="1"/>
        </w:numPr>
        <w:jc w:val="both"/>
      </w:pPr>
      <w:r>
        <w:rPr>
          <w:b/>
        </w:rPr>
        <w:t xml:space="preserve">distančne menice </w:t>
      </w:r>
      <w:r>
        <w:t>– trasat in trasat bivata v različnih krajih</w:t>
      </w:r>
    </w:p>
    <w:p w:rsidR="003D3C03" w:rsidRDefault="003D3C03" w:rsidP="003D3C03">
      <w:pPr>
        <w:numPr>
          <w:ilvl w:val="0"/>
          <w:numId w:val="1"/>
        </w:numPr>
        <w:jc w:val="both"/>
      </w:pPr>
      <w:r>
        <w:rPr>
          <w:b/>
        </w:rPr>
        <w:t xml:space="preserve">dokumentirana trata </w:t>
      </w:r>
      <w:r>
        <w:t>– prekomorska trata z raznimi listinami (nakladalni list, zavarovalne police, fakture); po plačilu take trate se lahko z listinami dvigne poslano blago</w:t>
      </w:r>
    </w:p>
    <w:p w:rsidR="003D3C03" w:rsidRDefault="003D3C03" w:rsidP="003D3C03">
      <w:pPr>
        <w:numPr>
          <w:ilvl w:val="0"/>
          <w:numId w:val="1"/>
        </w:numPr>
        <w:jc w:val="both"/>
      </w:pPr>
      <w:r>
        <w:rPr>
          <w:b/>
        </w:rPr>
        <w:t xml:space="preserve">dolgoročne menice </w:t>
      </w:r>
      <w:r>
        <w:t>– menice, ki zapadejo določen daljši čas po izdaji</w:t>
      </w:r>
    </w:p>
    <w:p w:rsidR="003D3C03" w:rsidRDefault="003D3C03" w:rsidP="003D3C03">
      <w:pPr>
        <w:numPr>
          <w:ilvl w:val="0"/>
          <w:numId w:val="1"/>
        </w:numPr>
        <w:jc w:val="both"/>
      </w:pPr>
      <w:r>
        <w:rPr>
          <w:b/>
        </w:rPr>
        <w:t xml:space="preserve">domicil </w:t>
      </w:r>
      <w:r>
        <w:t>– plačilni kraj menice, ki je različen od kraja, ki je razviden iz menice kot kraj trasatovega bivališča</w:t>
      </w:r>
    </w:p>
    <w:p w:rsidR="003D3C03" w:rsidRDefault="003D3C03" w:rsidP="003D3C03">
      <w:pPr>
        <w:numPr>
          <w:ilvl w:val="0"/>
          <w:numId w:val="1"/>
        </w:numPr>
        <w:jc w:val="both"/>
      </w:pPr>
      <w:r>
        <w:rPr>
          <w:b/>
        </w:rPr>
        <w:t xml:space="preserve">domiciliat </w:t>
      </w:r>
      <w:r>
        <w:t>– oseba, ki naj plača menico za trasata (različna od trasanta), ni niti menični dolžnik niti upnik</w:t>
      </w:r>
    </w:p>
    <w:p w:rsidR="003D3C03" w:rsidRPr="00445083" w:rsidRDefault="00445083" w:rsidP="003D3C03">
      <w:pPr>
        <w:numPr>
          <w:ilvl w:val="0"/>
          <w:numId w:val="1"/>
        </w:numPr>
        <w:jc w:val="both"/>
      </w:pPr>
      <w:r>
        <w:rPr>
          <w:b/>
        </w:rPr>
        <w:t xml:space="preserve">domiciliant – </w:t>
      </w:r>
      <w:r w:rsidRPr="00445083">
        <w:t>oseba,  ki zapiše, da je treba plačati menico v nekem kraju ali pri neki osebi</w:t>
      </w:r>
    </w:p>
    <w:p w:rsidR="00445083" w:rsidRDefault="00445083" w:rsidP="003D3C03">
      <w:pPr>
        <w:numPr>
          <w:ilvl w:val="0"/>
          <w:numId w:val="1"/>
        </w:numPr>
        <w:jc w:val="both"/>
      </w:pPr>
      <w:r>
        <w:rPr>
          <w:b/>
        </w:rPr>
        <w:t xml:space="preserve">domicilirana menica – </w:t>
      </w:r>
      <w:r>
        <w:t>menica, plačljiva pri tretji osebi bodisi v trasatovem prebivališču bodisi v drugem kraju</w:t>
      </w:r>
    </w:p>
    <w:p w:rsidR="00445083" w:rsidRDefault="00445083" w:rsidP="003D3C03">
      <w:pPr>
        <w:numPr>
          <w:ilvl w:val="0"/>
          <w:numId w:val="1"/>
        </w:numPr>
        <w:jc w:val="both"/>
      </w:pPr>
      <w:r>
        <w:rPr>
          <w:b/>
        </w:rPr>
        <w:t>dospelost –</w:t>
      </w:r>
      <w:r>
        <w:t xml:space="preserve"> dan, ko je treba menico plačati</w:t>
      </w:r>
    </w:p>
    <w:p w:rsidR="00445083" w:rsidRDefault="00445083" w:rsidP="003D3C03">
      <w:pPr>
        <w:numPr>
          <w:ilvl w:val="0"/>
          <w:numId w:val="1"/>
        </w:numPr>
        <w:jc w:val="both"/>
      </w:pPr>
      <w:r>
        <w:rPr>
          <w:b/>
        </w:rPr>
        <w:t>dospelost povpoglednice –</w:t>
      </w:r>
      <w:r>
        <w:t xml:space="preserve"> če ni datiranega akcepta, se šteje za dan akcepta dan, ko je bila menica protestirana</w:t>
      </w:r>
    </w:p>
    <w:p w:rsidR="00445083" w:rsidRDefault="00445083" w:rsidP="00A4573E">
      <w:pPr>
        <w:numPr>
          <w:ilvl w:val="0"/>
          <w:numId w:val="1"/>
        </w:numPr>
        <w:jc w:val="both"/>
      </w:pPr>
      <w:r>
        <w:rPr>
          <w:b/>
        </w:rPr>
        <w:lastRenderedPageBreak/>
        <w:t>druga menica –</w:t>
      </w:r>
      <w:r>
        <w:t xml:space="preserve"> dvojnik menice</w:t>
      </w:r>
    </w:p>
    <w:p w:rsidR="00A4573E" w:rsidRDefault="00A4573E" w:rsidP="00A4573E">
      <w:pPr>
        <w:numPr>
          <w:ilvl w:val="0"/>
          <w:numId w:val="1"/>
        </w:numPr>
        <w:jc w:val="both"/>
      </w:pPr>
      <w:r w:rsidRPr="00A4573E">
        <w:rPr>
          <w:b/>
        </w:rPr>
        <w:t>eskont - diskont</w:t>
      </w:r>
      <w:r>
        <w:t xml:space="preserve"> – prodaja ali nakup menice pred zapadlostjo</w:t>
      </w:r>
    </w:p>
    <w:p w:rsidR="00A4573E" w:rsidRDefault="00A4573E" w:rsidP="00A4573E">
      <w:pPr>
        <w:numPr>
          <w:ilvl w:val="0"/>
          <w:numId w:val="1"/>
        </w:numPr>
        <w:jc w:val="both"/>
      </w:pPr>
      <w:r>
        <w:rPr>
          <w:b/>
        </w:rPr>
        <w:t xml:space="preserve">eskontne obresti </w:t>
      </w:r>
      <w:r>
        <w:t>– obresti, ki jih banka odšteje pri nakupu menice (tudi diskontne)</w:t>
      </w:r>
    </w:p>
    <w:p w:rsidR="00A4573E" w:rsidRDefault="00A4573E" w:rsidP="00A4573E">
      <w:pPr>
        <w:numPr>
          <w:ilvl w:val="0"/>
          <w:numId w:val="1"/>
        </w:numPr>
        <w:jc w:val="both"/>
      </w:pPr>
      <w:r>
        <w:rPr>
          <w:b/>
        </w:rPr>
        <w:t xml:space="preserve">eskontirati menico </w:t>
      </w:r>
      <w:r>
        <w:t>– odkupiti menico</w:t>
      </w:r>
    </w:p>
    <w:p w:rsidR="00A4573E" w:rsidRDefault="00A4573E" w:rsidP="00A4573E">
      <w:pPr>
        <w:numPr>
          <w:ilvl w:val="0"/>
          <w:numId w:val="1"/>
        </w:numPr>
        <w:jc w:val="both"/>
      </w:pPr>
      <w:r>
        <w:rPr>
          <w:b/>
        </w:rPr>
        <w:t xml:space="preserve">falsus prokurator </w:t>
      </w:r>
      <w:r>
        <w:t>– namišljeni zastopnik (če se podpiše na menici, je zavezan sam)</w:t>
      </w:r>
    </w:p>
    <w:p w:rsidR="00A4573E" w:rsidRDefault="00A4573E" w:rsidP="00A4573E">
      <w:pPr>
        <w:numPr>
          <w:ilvl w:val="0"/>
          <w:numId w:val="1"/>
        </w:numPr>
        <w:jc w:val="both"/>
      </w:pPr>
      <w:r>
        <w:rPr>
          <w:b/>
        </w:rPr>
        <w:t xml:space="preserve">fiduciarni indosament </w:t>
      </w:r>
      <w:r>
        <w:t>– indosant pooblasti indosatarja, da unovči menico; ta indosament ni razviden iz meničnega besedila; menico uveljavlja indosatar v svojem imenu, in ne za svoj račun</w:t>
      </w:r>
    </w:p>
    <w:p w:rsidR="00A4573E" w:rsidRDefault="007E582D" w:rsidP="00A4573E">
      <w:pPr>
        <w:numPr>
          <w:ilvl w:val="0"/>
          <w:numId w:val="1"/>
        </w:numPr>
        <w:jc w:val="both"/>
      </w:pPr>
      <w:r w:rsidRPr="007E582D">
        <w:rPr>
          <w:b/>
        </w:rPr>
        <w:t>fiksna menica</w:t>
      </w:r>
      <w:r>
        <w:t xml:space="preserve"> – dnevnica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 xml:space="preserve">finančna menica – </w:t>
      </w:r>
      <w:r>
        <w:t>trasant ne dobi od trasata nobene protivrednosti; menica rabi samo zato, da se pride npr. z diskontiranjem do denarja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formalna menična strogost –</w:t>
      </w:r>
      <w:r>
        <w:t xml:space="preserve"> v pospešenem in skrajšanem sodnem postopku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funkcije v indosamentu –</w:t>
      </w:r>
      <w:r>
        <w:t xml:space="preserve"> cirkulacijska, varnostna in legitimacijska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garancijska funkcija indosamenta –</w:t>
      </w:r>
      <w:r>
        <w:t xml:space="preserve"> vsi sopodpisniki menice jamčijo za plačilo menice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garant –</w:t>
      </w:r>
      <w:r>
        <w:t xml:space="preserve"> porok, avalist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girant (žirant) –</w:t>
      </w:r>
      <w:r>
        <w:t xml:space="preserve"> indosant</w:t>
      </w:r>
    </w:p>
    <w:p w:rsidR="007E582D" w:rsidRDefault="007E582D" w:rsidP="00A4573E">
      <w:pPr>
        <w:numPr>
          <w:ilvl w:val="0"/>
          <w:numId w:val="1"/>
        </w:numPr>
        <w:jc w:val="both"/>
      </w:pPr>
      <w:r>
        <w:rPr>
          <w:b/>
        </w:rPr>
        <w:t>giratar (žiratar) –</w:t>
      </w:r>
      <w:r>
        <w:t xml:space="preserve"> indosatar</w:t>
      </w:r>
    </w:p>
    <w:p w:rsidR="007E582D" w:rsidRPr="00445083" w:rsidRDefault="007E582D" w:rsidP="00A4573E">
      <w:pPr>
        <w:numPr>
          <w:ilvl w:val="0"/>
          <w:numId w:val="1"/>
        </w:numPr>
        <w:jc w:val="both"/>
      </w:pPr>
    </w:p>
    <w:sectPr w:rsidR="007E582D" w:rsidRPr="0044508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51" w:rsidRDefault="00D848CD">
      <w:r>
        <w:separator/>
      </w:r>
    </w:p>
  </w:endnote>
  <w:endnote w:type="continuationSeparator" w:id="0">
    <w:p w:rsidR="00CE5F51" w:rsidRDefault="00D8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Default="00A4573E" w:rsidP="0049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73E" w:rsidRDefault="00A45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Default="00A4573E" w:rsidP="00490F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82D">
      <w:rPr>
        <w:rStyle w:val="PageNumber"/>
        <w:noProof/>
      </w:rPr>
      <w:t>3</w:t>
    </w:r>
    <w:r>
      <w:rPr>
        <w:rStyle w:val="PageNumber"/>
      </w:rPr>
      <w:fldChar w:fldCharType="end"/>
    </w:r>
  </w:p>
  <w:p w:rsidR="00A4573E" w:rsidRDefault="00A45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51" w:rsidRDefault="00D848CD">
      <w:r>
        <w:separator/>
      </w:r>
    </w:p>
  </w:footnote>
  <w:footnote w:type="continuationSeparator" w:id="0">
    <w:p w:rsidR="00CE5F51" w:rsidRDefault="00D8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A98"/>
    <w:multiLevelType w:val="hybridMultilevel"/>
    <w:tmpl w:val="F084A794"/>
    <w:lvl w:ilvl="0" w:tplc="CA5CCA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92C"/>
    <w:rsid w:val="0023592C"/>
    <w:rsid w:val="00273CA9"/>
    <w:rsid w:val="003D3C03"/>
    <w:rsid w:val="00445083"/>
    <w:rsid w:val="00490FC4"/>
    <w:rsid w:val="0053454C"/>
    <w:rsid w:val="0057095E"/>
    <w:rsid w:val="00603A10"/>
    <w:rsid w:val="00726BEE"/>
    <w:rsid w:val="007C0EE3"/>
    <w:rsid w:val="007D1DBA"/>
    <w:rsid w:val="007E582D"/>
    <w:rsid w:val="007F327E"/>
    <w:rsid w:val="0084683F"/>
    <w:rsid w:val="00873E72"/>
    <w:rsid w:val="008A4462"/>
    <w:rsid w:val="00A4573E"/>
    <w:rsid w:val="00CE5F51"/>
    <w:rsid w:val="00D848CD"/>
    <w:rsid w:val="00DF16BF"/>
    <w:rsid w:val="00E734F1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0F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