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7325" w:rsidRDefault="00657325">
      <w:pPr>
        <w:pStyle w:val="Heading1"/>
        <w:jc w:val="center"/>
        <w:rPr>
          <w:rFonts w:ascii="Renfrew" w:hAnsi="Renfrew"/>
          <w:sz w:val="40"/>
        </w:rPr>
      </w:pPr>
      <w:bookmarkStart w:id="0" w:name="_GoBack"/>
      <w:bookmarkEnd w:id="0"/>
    </w:p>
    <w:p w:rsidR="00657325" w:rsidRDefault="00657325">
      <w:pPr>
        <w:pStyle w:val="Heading1"/>
        <w:jc w:val="center"/>
        <w:rPr>
          <w:rFonts w:ascii="Renfrew" w:hAnsi="Renfrew"/>
          <w:sz w:val="40"/>
        </w:rPr>
      </w:pPr>
    </w:p>
    <w:p w:rsidR="008174D5" w:rsidRPr="008174D5" w:rsidRDefault="008174D5" w:rsidP="008174D5"/>
    <w:p w:rsidR="00657325" w:rsidRDefault="00657325">
      <w:pPr>
        <w:pStyle w:val="Heading1"/>
        <w:jc w:val="center"/>
        <w:rPr>
          <w:rFonts w:ascii="Renfrew" w:hAnsi="Renfrew"/>
          <w:sz w:val="40"/>
        </w:rPr>
      </w:pPr>
    </w:p>
    <w:p w:rsidR="00657325" w:rsidRDefault="00657325">
      <w:pPr>
        <w:pStyle w:val="Heading1"/>
        <w:jc w:val="center"/>
        <w:rPr>
          <w:rFonts w:ascii="Renfrew" w:hAnsi="Renfrew"/>
          <w:sz w:val="40"/>
        </w:rPr>
      </w:pPr>
    </w:p>
    <w:p w:rsidR="00657325" w:rsidRDefault="00285A2D">
      <w:pPr>
        <w:pStyle w:val="Heading1"/>
        <w:jc w:val="center"/>
        <w:rPr>
          <w:rFonts w:ascii="Renfrew" w:hAnsi="Renfrew"/>
          <w:sz w:val="4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50.2pt;margin-top:3.35pt;width:369pt;height:117pt;z-index:251658752" fillcolor="black" strokeweight="2.25pt">
            <v:fill color2="#ffbf00" colors="0 black;13107f #000040;.5 #400040;.75 #8f0040;58982f #f27300;1 #ffbf00" method="none" focus="100%" type="gradient"/>
            <v:shadow on="t" color="silver" opacity="52429f"/>
            <v:textpath style="font-family:&quot;Impact&quot;;font-weight:bold;v-text-kern:t" trim="t" fitpath="t" string="LIPIDI"/>
            <w10:wrap type="square"/>
          </v:shape>
        </w:pict>
      </w:r>
    </w:p>
    <w:p w:rsidR="00657325" w:rsidRDefault="00657325">
      <w:pPr>
        <w:pStyle w:val="Heading1"/>
        <w:jc w:val="center"/>
        <w:rPr>
          <w:rFonts w:ascii="Renfrew" w:hAnsi="Renfrew"/>
          <w:sz w:val="40"/>
        </w:rPr>
      </w:pPr>
    </w:p>
    <w:p w:rsidR="00657325" w:rsidRDefault="00657325">
      <w:pPr>
        <w:pStyle w:val="Heading1"/>
        <w:jc w:val="center"/>
        <w:rPr>
          <w:rFonts w:ascii="Renfrew" w:hAnsi="Renfrew"/>
          <w:sz w:val="40"/>
        </w:rPr>
      </w:pPr>
    </w:p>
    <w:p w:rsidR="00657325" w:rsidRDefault="00657325">
      <w:pPr>
        <w:pStyle w:val="Heading1"/>
        <w:jc w:val="center"/>
        <w:rPr>
          <w:rFonts w:ascii="Renfrew" w:hAnsi="Renfrew"/>
          <w:sz w:val="40"/>
        </w:rPr>
      </w:pPr>
    </w:p>
    <w:p w:rsidR="00657325" w:rsidRDefault="00657325">
      <w:pPr>
        <w:pStyle w:val="Heading1"/>
        <w:jc w:val="center"/>
        <w:rPr>
          <w:rFonts w:ascii="Renfrew" w:hAnsi="Renfrew"/>
          <w:sz w:val="40"/>
        </w:rPr>
      </w:pPr>
    </w:p>
    <w:p w:rsidR="00657325" w:rsidRDefault="00657325">
      <w:pPr>
        <w:pStyle w:val="Heading1"/>
        <w:jc w:val="center"/>
        <w:rPr>
          <w:rFonts w:ascii="Renfrew" w:hAnsi="Renfrew"/>
          <w:sz w:val="40"/>
        </w:rPr>
      </w:pPr>
    </w:p>
    <w:p w:rsidR="00657325" w:rsidRDefault="00657325">
      <w:pPr>
        <w:pStyle w:val="Heading1"/>
        <w:jc w:val="center"/>
        <w:rPr>
          <w:rFonts w:ascii="Renfrew" w:hAnsi="Renfrew"/>
          <w:sz w:val="40"/>
        </w:rPr>
      </w:pPr>
    </w:p>
    <w:p w:rsidR="00657325" w:rsidRDefault="00657325">
      <w:pPr>
        <w:pStyle w:val="Heading1"/>
        <w:jc w:val="center"/>
        <w:rPr>
          <w:rFonts w:ascii="Renfrew" w:hAnsi="Renfrew"/>
          <w:sz w:val="40"/>
        </w:rPr>
      </w:pPr>
    </w:p>
    <w:p w:rsidR="00657325" w:rsidRDefault="00657325">
      <w:pPr>
        <w:pStyle w:val="Heading1"/>
        <w:jc w:val="center"/>
        <w:rPr>
          <w:rFonts w:ascii="Renfrew" w:hAnsi="Renfrew"/>
          <w:sz w:val="40"/>
        </w:rPr>
      </w:pPr>
    </w:p>
    <w:p w:rsidR="00657325" w:rsidRDefault="00285A2D">
      <w:pPr>
        <w:pStyle w:val="Heading1"/>
        <w:jc w:val="center"/>
        <w:rPr>
          <w:rFonts w:ascii="Renfrew" w:hAnsi="Renfrew"/>
          <w:sz w:val="40"/>
        </w:rPr>
      </w:pPr>
      <w:r>
        <w:rPr>
          <w:rFonts w:ascii="Renfrew" w:hAnsi="Renfrew"/>
          <w:noProof/>
          <w:sz w:val="40"/>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50.2pt;margin-top:3.4pt;width:351pt;height:262.5pt;z-index:251659776">
            <v:imagedata r:id="rId7" o:title=""/>
            <w10:wrap type="square"/>
          </v:shape>
        </w:pict>
      </w:r>
    </w:p>
    <w:p w:rsidR="00657325" w:rsidRDefault="00657325">
      <w:pPr>
        <w:pStyle w:val="Heading1"/>
        <w:jc w:val="center"/>
        <w:rPr>
          <w:rFonts w:ascii="Renfrew" w:hAnsi="Renfrew"/>
          <w:sz w:val="40"/>
        </w:rPr>
      </w:pPr>
    </w:p>
    <w:p w:rsidR="00657325" w:rsidRDefault="00657325">
      <w:pPr>
        <w:pStyle w:val="Heading1"/>
        <w:jc w:val="center"/>
        <w:rPr>
          <w:rFonts w:ascii="Renfrew" w:hAnsi="Renfrew"/>
          <w:sz w:val="40"/>
        </w:rPr>
      </w:pPr>
    </w:p>
    <w:p w:rsidR="00657325" w:rsidRPr="00657325" w:rsidRDefault="00657325" w:rsidP="00657325"/>
    <w:p w:rsidR="00657325" w:rsidRPr="00657325" w:rsidRDefault="00657325" w:rsidP="00657325"/>
    <w:p w:rsidR="00657325" w:rsidRPr="00657325" w:rsidRDefault="00657325" w:rsidP="00657325"/>
    <w:p w:rsidR="00657325" w:rsidRPr="00657325" w:rsidRDefault="00657325" w:rsidP="00657325"/>
    <w:p w:rsidR="00657325" w:rsidRPr="00657325" w:rsidRDefault="00657325" w:rsidP="00657325"/>
    <w:p w:rsidR="00657325" w:rsidRPr="00657325" w:rsidRDefault="00657325" w:rsidP="00657325"/>
    <w:p w:rsidR="00657325" w:rsidRPr="00657325" w:rsidRDefault="00657325" w:rsidP="00657325"/>
    <w:p w:rsidR="00657325" w:rsidRPr="00657325" w:rsidRDefault="00657325" w:rsidP="00657325"/>
    <w:p w:rsidR="00657325" w:rsidRPr="00657325" w:rsidRDefault="00657325" w:rsidP="00657325"/>
    <w:p w:rsidR="00657325" w:rsidRPr="00657325" w:rsidRDefault="00657325" w:rsidP="00657325"/>
    <w:p w:rsidR="00657325" w:rsidRPr="00657325" w:rsidRDefault="00657325" w:rsidP="00657325"/>
    <w:p w:rsidR="00657325" w:rsidRPr="00657325" w:rsidRDefault="00657325" w:rsidP="00657325"/>
    <w:p w:rsidR="00657325" w:rsidRPr="00657325" w:rsidRDefault="00657325" w:rsidP="00657325"/>
    <w:p w:rsidR="00657325" w:rsidRPr="00657325" w:rsidRDefault="00657325" w:rsidP="00657325"/>
    <w:p w:rsidR="00657325" w:rsidRPr="00657325" w:rsidRDefault="00657325" w:rsidP="00657325"/>
    <w:p w:rsidR="00657325" w:rsidRPr="00657325" w:rsidRDefault="00657325" w:rsidP="00657325"/>
    <w:p w:rsidR="00657325" w:rsidRPr="00657325" w:rsidRDefault="00657325">
      <w:pPr>
        <w:pStyle w:val="Heading1"/>
        <w:jc w:val="center"/>
      </w:pPr>
    </w:p>
    <w:p w:rsidR="00657325" w:rsidRPr="00657325" w:rsidRDefault="00657325">
      <w:pPr>
        <w:pStyle w:val="Heading1"/>
        <w:jc w:val="center"/>
      </w:pPr>
    </w:p>
    <w:p w:rsidR="00657325" w:rsidRDefault="00657325" w:rsidP="00657325">
      <w:pPr>
        <w:pStyle w:val="Heading1"/>
        <w:jc w:val="right"/>
      </w:pPr>
    </w:p>
    <w:p w:rsidR="00657325" w:rsidRDefault="00657325" w:rsidP="00657325"/>
    <w:p w:rsidR="003D6523" w:rsidRPr="00AB776D" w:rsidRDefault="006D78F0">
      <w:pPr>
        <w:pStyle w:val="Heading1"/>
        <w:jc w:val="center"/>
        <w:rPr>
          <w:rFonts w:ascii="Arial Black" w:hAnsi="Arial Black"/>
          <w:color w:val="800080"/>
          <w:sz w:val="40"/>
        </w:rPr>
      </w:pPr>
      <w:r w:rsidRPr="00657325">
        <w:br w:type="page"/>
      </w:r>
      <w:r w:rsidR="003D6523" w:rsidRPr="00AB776D">
        <w:rPr>
          <w:rFonts w:ascii="Arial Black" w:hAnsi="Arial Black"/>
          <w:color w:val="800080"/>
          <w:sz w:val="40"/>
        </w:rPr>
        <w:lastRenderedPageBreak/>
        <w:t>LIPIDI</w:t>
      </w:r>
    </w:p>
    <w:p w:rsidR="00657325" w:rsidRDefault="00657325">
      <w:pPr>
        <w:rPr>
          <w:b/>
          <w:bCs/>
        </w:rPr>
      </w:pPr>
    </w:p>
    <w:p w:rsidR="003D6523" w:rsidRDefault="003D6523">
      <w:r>
        <w:rPr>
          <w:b/>
          <w:bCs/>
        </w:rPr>
        <w:t>Lipidi</w:t>
      </w:r>
      <w:r w:rsidR="00657325">
        <w:rPr>
          <w:b/>
          <w:bCs/>
        </w:rPr>
        <w:t xml:space="preserve"> so maščobe (pretežno estri).Sku</w:t>
      </w:r>
      <w:r>
        <w:rPr>
          <w:b/>
          <w:bCs/>
        </w:rPr>
        <w:t>pna lastnost vseh lipidov je da so netopni v vodi. Glavne značilnosti zgradbe lipidov so da imajo polarno glavo in nepolarni rep. Vir lipidov je maslo, kokosovo olje palmovo olje orehi in loj. Maščobe so estri glicerola(Propantriola) z maščobnimi kislinami. Lipidi sproščajo dvakrat več e</w:t>
      </w:r>
      <w:r w:rsidR="00AB776D">
        <w:rPr>
          <w:b/>
          <w:bCs/>
        </w:rPr>
        <w:t>nergije pri presnovi kot ogljik, hidrati ali beljakovine in</w:t>
      </w:r>
      <w:r>
        <w:rPr>
          <w:b/>
          <w:bCs/>
        </w:rPr>
        <w:t xml:space="preserve"> so odličen izolator za telo in varujejo vitalne dele telesa. Pomagajo pri delovanju živčevja. Pomembni tudi za spomin, Brez lipidov bi nam manjkali vitamini ki se v njih tope A(vid) D(kosti) E(plodnost) K(strjevanje krvi). Pomembni so tudi pri gradnji celičnih membran. Lipidi so tudi surovina za milo, voske, biotranzistorje. Masti so trdne maščobe z znatno vsebnostjo nasičenih maščobnih kislin in malo nenasičenih medtem ko olja vsebujejo predvsem nenasičene maščobne kisline. Mast postane žarka ker poteka hidroliza(ki nam daje glicerol maščobne kisline in mila) in oksidacija maščob</w:t>
      </w:r>
      <w:r>
        <w:t xml:space="preserve">. </w:t>
      </w:r>
    </w:p>
    <w:p w:rsidR="003D6523" w:rsidRDefault="003D6523">
      <w:pPr>
        <w:rPr>
          <w:b/>
          <w:bCs/>
          <w:sz w:val="14"/>
        </w:rPr>
      </w:pPr>
    </w:p>
    <w:p w:rsidR="003D6523" w:rsidRDefault="00285A2D">
      <w:pPr>
        <w:rPr>
          <w:vanish/>
          <w:sz w:val="24"/>
          <w:szCs w:val="24"/>
        </w:rPr>
      </w:pPr>
      <w:r>
        <w:rPr>
          <w:noProof/>
          <w:sz w:val="20"/>
          <w:lang w:eastAsia="sl-SI"/>
        </w:rPr>
        <w:pict>
          <v:shapetype id="_x0000_t202" coordsize="21600,21600" o:spt="202" path="m,l,21600r21600,l21600,xe">
            <v:stroke joinstyle="miter"/>
            <v:path gradientshapeok="t" o:connecttype="rect"/>
          </v:shapetype>
          <v:shape id="_x0000_s1040" type="#_x0000_t202" style="position:absolute;margin-left:185.2pt;margin-top:9.55pt;width:117pt;height:51.95pt;z-index:251657728" strokecolor="purple" strokeweight="3pt">
            <v:textbox>
              <w:txbxContent>
                <w:p w:rsidR="006D78F0" w:rsidRDefault="006D78F0">
                  <w:r>
                    <w:t>Elektrostatični potencial na modelu oleinske kisline</w:t>
                  </w:r>
                </w:p>
              </w:txbxContent>
            </v:textbox>
          </v:shape>
        </w:pict>
      </w:r>
      <w:r w:rsidR="003D6523">
        <w:br/>
      </w:r>
      <w:r w:rsidR="003D6523">
        <w:br/>
      </w:r>
      <w:r w:rsidR="003D6523">
        <w:br/>
        <w:t xml:space="preserve">                                                         </w:t>
      </w:r>
      <w:r w:rsidR="003D6523">
        <w:rPr>
          <w:sz w:val="20"/>
        </w:rPr>
        <w:br/>
      </w:r>
      <w:r w:rsidR="006D78F0">
        <w:rPr>
          <w:noProof/>
          <w:sz w:val="20"/>
          <w:lang w:eastAsia="sl-SI"/>
        </w:rPr>
        <w:t xml:space="preserve"> </w:t>
      </w:r>
    </w:p>
    <w:p w:rsidR="003D6523" w:rsidRDefault="00285A2D" w:rsidP="006D78F0">
      <w:r>
        <w:rPr>
          <w:noProof/>
          <w:sz w:val="20"/>
          <w:lang w:val="en-US"/>
        </w:rPr>
        <w:pict>
          <v:shape id="_x0000_s1028" type="#_x0000_t75" style="position:absolute;margin-left:-12.8pt;margin-top:18.55pt;width:174.45pt;height:116.85pt;z-index:251654656">
            <v:imagedata r:id="rId8" o:title="Tabela 4"/>
          </v:shape>
        </w:pict>
      </w:r>
      <w:r w:rsidR="003D6523">
        <w:br/>
        <w:t xml:space="preserve"> </w:t>
      </w:r>
      <w:r w:rsidR="003D6523">
        <w:br/>
      </w:r>
      <w:r w:rsidR="003D6523">
        <w:br/>
      </w:r>
    </w:p>
    <w:p w:rsidR="003D6523" w:rsidRDefault="003D6523">
      <w:pPr>
        <w:ind w:left="360"/>
        <w:rPr>
          <w:b/>
          <w:bCs/>
          <w:sz w:val="14"/>
        </w:rPr>
      </w:pPr>
    </w:p>
    <w:p w:rsidR="003D6523" w:rsidRDefault="003D6523">
      <w:pPr>
        <w:ind w:left="360"/>
        <w:rPr>
          <w:b/>
          <w:bCs/>
          <w:sz w:val="14"/>
        </w:rPr>
      </w:pPr>
    </w:p>
    <w:p w:rsidR="003D6523" w:rsidRDefault="003D6523">
      <w:pPr>
        <w:ind w:left="360"/>
        <w:rPr>
          <w:b/>
          <w:bCs/>
          <w:sz w:val="14"/>
        </w:rPr>
      </w:pPr>
    </w:p>
    <w:p w:rsidR="003D6523" w:rsidRDefault="003D6523">
      <w:pPr>
        <w:ind w:left="360"/>
        <w:rPr>
          <w:b/>
          <w:bCs/>
          <w:sz w:val="14"/>
        </w:rPr>
      </w:pPr>
    </w:p>
    <w:p w:rsidR="003D6523" w:rsidRDefault="003D6523">
      <w:pPr>
        <w:ind w:left="360"/>
        <w:rPr>
          <w:b/>
          <w:bCs/>
          <w:sz w:val="14"/>
        </w:rPr>
      </w:pPr>
    </w:p>
    <w:p w:rsidR="003D6523" w:rsidRDefault="003D6523">
      <w:pPr>
        <w:ind w:left="360"/>
        <w:rPr>
          <w:b/>
          <w:bCs/>
          <w:sz w:val="14"/>
        </w:rPr>
      </w:pPr>
    </w:p>
    <w:p w:rsidR="003D6523" w:rsidRDefault="00285A2D">
      <w:pPr>
        <w:ind w:left="360"/>
        <w:rPr>
          <w:b/>
          <w:bCs/>
          <w:sz w:val="14"/>
        </w:rPr>
      </w:pPr>
      <w:r>
        <w:rPr>
          <w:noProof/>
          <w:sz w:val="20"/>
          <w:lang w:val="en-US"/>
        </w:rPr>
        <w:pict>
          <v:shape id="_x0000_s1027" type="#_x0000_t75" style="position:absolute;left:0;text-align:left;margin-left:284.2pt;margin-top:2.55pt;width:159.45pt;height:113.15pt;z-index:251653632">
            <v:imagedata r:id="rId9" o:title="Tabela 4"/>
          </v:shape>
        </w:pict>
      </w:r>
    </w:p>
    <w:p w:rsidR="003D6523" w:rsidRDefault="003D6523">
      <w:pPr>
        <w:ind w:left="360"/>
        <w:rPr>
          <w:b/>
          <w:bCs/>
          <w:sz w:val="14"/>
        </w:rPr>
      </w:pPr>
    </w:p>
    <w:p w:rsidR="003D6523" w:rsidRDefault="00285A2D">
      <w:pPr>
        <w:ind w:left="360"/>
        <w:rPr>
          <w:b/>
          <w:bCs/>
          <w:sz w:val="14"/>
        </w:rPr>
      </w:pPr>
      <w:r>
        <w:rPr>
          <w:noProof/>
          <w:sz w:val="24"/>
          <w:szCs w:val="24"/>
          <w:lang w:eastAsia="sl-SI"/>
        </w:rPr>
        <w:pict>
          <v:shape id="_x0000_s1045" type="#_x0000_t202" style="position:absolute;left:0;text-align:left;margin-left:77.2pt;margin-top:5.1pt;width:117pt;height:54pt;z-index:251660800" strokecolor="purple" strokeweight="3pt">
            <v:textbox>
              <w:txbxContent>
                <w:p w:rsidR="00657325" w:rsidRDefault="00657325">
                  <w:r>
                    <w:t>Elektrostatični potencial na modelu linolne kisline</w:t>
                  </w:r>
                </w:p>
              </w:txbxContent>
            </v:textbox>
          </v:shape>
        </w:pict>
      </w:r>
    </w:p>
    <w:p w:rsidR="003D6523" w:rsidRDefault="003D6523">
      <w:pPr>
        <w:ind w:left="360"/>
        <w:rPr>
          <w:b/>
          <w:bCs/>
          <w:sz w:val="14"/>
        </w:rPr>
      </w:pPr>
    </w:p>
    <w:p w:rsidR="003D6523" w:rsidRDefault="003D6523">
      <w:pPr>
        <w:ind w:left="360"/>
        <w:rPr>
          <w:b/>
          <w:bCs/>
          <w:sz w:val="14"/>
        </w:rPr>
      </w:pPr>
    </w:p>
    <w:p w:rsidR="003D6523" w:rsidRDefault="003D6523">
      <w:pPr>
        <w:ind w:left="360"/>
        <w:rPr>
          <w:b/>
          <w:bCs/>
          <w:sz w:val="14"/>
        </w:rPr>
      </w:pPr>
    </w:p>
    <w:p w:rsidR="003D6523" w:rsidRDefault="003D6523">
      <w:pPr>
        <w:ind w:left="360"/>
        <w:rPr>
          <w:b/>
          <w:bCs/>
          <w:sz w:val="14"/>
        </w:rPr>
      </w:pPr>
    </w:p>
    <w:p w:rsidR="003D6523" w:rsidRDefault="003D6523">
      <w:pPr>
        <w:ind w:left="360"/>
        <w:rPr>
          <w:b/>
          <w:bCs/>
          <w:sz w:val="14"/>
        </w:rPr>
      </w:pPr>
    </w:p>
    <w:p w:rsidR="003D6523" w:rsidRDefault="003D6523">
      <w:pPr>
        <w:ind w:left="360"/>
        <w:rPr>
          <w:b/>
          <w:bCs/>
          <w:sz w:val="14"/>
        </w:rPr>
      </w:pPr>
    </w:p>
    <w:p w:rsidR="003D6523" w:rsidRDefault="003D6523">
      <w:pPr>
        <w:ind w:left="360"/>
        <w:rPr>
          <w:b/>
          <w:bCs/>
          <w:sz w:val="14"/>
        </w:rPr>
      </w:pPr>
    </w:p>
    <w:p w:rsidR="003D6523" w:rsidRDefault="003D6523">
      <w:pPr>
        <w:ind w:left="360"/>
        <w:rPr>
          <w:b/>
          <w:bCs/>
          <w:sz w:val="14"/>
        </w:rPr>
      </w:pPr>
    </w:p>
    <w:p w:rsidR="003D6523" w:rsidRDefault="003D6523">
      <w:pPr>
        <w:ind w:left="360"/>
        <w:rPr>
          <w:b/>
          <w:bCs/>
          <w:sz w:val="14"/>
        </w:rPr>
      </w:pPr>
    </w:p>
    <w:p w:rsidR="003D6523" w:rsidRDefault="003D6523">
      <w:pPr>
        <w:ind w:left="360"/>
        <w:rPr>
          <w:b/>
          <w:bCs/>
          <w:sz w:val="14"/>
        </w:rPr>
      </w:pPr>
    </w:p>
    <w:p w:rsidR="003D6523" w:rsidRDefault="003D6523">
      <w:pPr>
        <w:ind w:left="360"/>
        <w:rPr>
          <w:b/>
          <w:bCs/>
          <w:sz w:val="14"/>
        </w:rPr>
      </w:pPr>
    </w:p>
    <w:p w:rsidR="003D6523" w:rsidRDefault="003D6523">
      <w:pPr>
        <w:rPr>
          <w:sz w:val="20"/>
        </w:rPr>
      </w:pPr>
    </w:p>
    <w:p w:rsidR="003D6523" w:rsidRDefault="003D6523">
      <w:pPr>
        <w:rPr>
          <w:sz w:val="20"/>
        </w:rPr>
      </w:pPr>
    </w:p>
    <w:p w:rsidR="006D78F0" w:rsidRDefault="006D78F0">
      <w:pPr>
        <w:rPr>
          <w:sz w:val="20"/>
        </w:rPr>
      </w:pPr>
    </w:p>
    <w:p w:rsidR="006D78F0" w:rsidRDefault="006D78F0">
      <w:pPr>
        <w:rPr>
          <w:sz w:val="20"/>
        </w:rPr>
      </w:pPr>
    </w:p>
    <w:p w:rsidR="006D78F0" w:rsidRDefault="00285A2D">
      <w:pPr>
        <w:rPr>
          <w:sz w:val="20"/>
        </w:rPr>
      </w:pPr>
      <w:r>
        <w:rPr>
          <w:noProof/>
          <w:sz w:val="20"/>
          <w:lang w:val="en-US"/>
        </w:rPr>
        <w:pict>
          <v:shape id="_x0000_s1029" type="#_x0000_t75" style="position:absolute;margin-left:14.2pt;margin-top:5.5pt;width:186.45pt;height:130.85pt;z-index:251655680">
            <v:imagedata r:id="rId10" o:title="Slika 4"/>
          </v:shape>
        </w:pict>
      </w:r>
    </w:p>
    <w:p w:rsidR="006D78F0" w:rsidRDefault="006D78F0">
      <w:pPr>
        <w:rPr>
          <w:sz w:val="20"/>
        </w:rPr>
      </w:pPr>
    </w:p>
    <w:p w:rsidR="006D78F0" w:rsidRDefault="006D78F0">
      <w:pPr>
        <w:rPr>
          <w:sz w:val="20"/>
        </w:rPr>
      </w:pPr>
    </w:p>
    <w:p w:rsidR="006D78F0" w:rsidRDefault="006D78F0">
      <w:pPr>
        <w:rPr>
          <w:sz w:val="20"/>
        </w:rPr>
      </w:pPr>
    </w:p>
    <w:p w:rsidR="006D78F0" w:rsidRDefault="006D78F0">
      <w:pPr>
        <w:rPr>
          <w:sz w:val="20"/>
        </w:rPr>
      </w:pPr>
    </w:p>
    <w:p w:rsidR="006D78F0" w:rsidRDefault="006D78F0">
      <w:pPr>
        <w:rPr>
          <w:sz w:val="20"/>
        </w:rPr>
      </w:pPr>
    </w:p>
    <w:p w:rsidR="006D78F0" w:rsidRDefault="006D78F0">
      <w:pPr>
        <w:rPr>
          <w:sz w:val="20"/>
        </w:rPr>
      </w:pPr>
    </w:p>
    <w:p w:rsidR="006D78F0" w:rsidRDefault="006D78F0">
      <w:pPr>
        <w:rPr>
          <w:sz w:val="20"/>
        </w:rPr>
      </w:pPr>
    </w:p>
    <w:p w:rsidR="006D78F0" w:rsidRDefault="00285A2D">
      <w:pPr>
        <w:rPr>
          <w:sz w:val="20"/>
        </w:rPr>
      </w:pPr>
      <w:r>
        <w:rPr>
          <w:noProof/>
          <w:sz w:val="20"/>
          <w:lang w:eastAsia="sl-SI"/>
        </w:rPr>
        <w:pict>
          <v:shape id="_x0000_s1037" type="#_x0000_t202" style="position:absolute;margin-left:198pt;margin-top:2.15pt;width:212.2pt;height:27pt;z-index:251656704" strokecolor="purple" strokeweight="3pt">
            <v:textbox>
              <w:txbxContent>
                <w:p w:rsidR="006D78F0" w:rsidRDefault="006D78F0">
                  <w:r>
                    <w:t>Modelni prikaz dvojne plasti fosfolipidov</w:t>
                  </w:r>
                </w:p>
              </w:txbxContent>
            </v:textbox>
          </v:shape>
        </w:pict>
      </w:r>
    </w:p>
    <w:p w:rsidR="006D78F0" w:rsidRDefault="006D78F0">
      <w:pPr>
        <w:rPr>
          <w:sz w:val="20"/>
        </w:rPr>
      </w:pPr>
    </w:p>
    <w:p w:rsidR="006D78F0" w:rsidRDefault="006D78F0">
      <w:pPr>
        <w:rPr>
          <w:sz w:val="20"/>
        </w:rPr>
      </w:pPr>
    </w:p>
    <w:p w:rsidR="006D78F0" w:rsidRDefault="006D78F0">
      <w:pPr>
        <w:rPr>
          <w:sz w:val="20"/>
        </w:rPr>
      </w:pPr>
    </w:p>
    <w:p w:rsidR="006D78F0" w:rsidRDefault="006D78F0">
      <w:pPr>
        <w:rPr>
          <w:sz w:val="20"/>
        </w:rPr>
      </w:pPr>
    </w:p>
    <w:p w:rsidR="006D78F0" w:rsidRDefault="006D78F0">
      <w:pPr>
        <w:rPr>
          <w:sz w:val="20"/>
        </w:rPr>
      </w:pPr>
    </w:p>
    <w:p w:rsidR="00657325" w:rsidRDefault="00657325">
      <w:pPr>
        <w:jc w:val="center"/>
        <w:rPr>
          <w:sz w:val="44"/>
          <w:szCs w:val="44"/>
        </w:rPr>
      </w:pPr>
    </w:p>
    <w:p w:rsidR="003D6523" w:rsidRPr="00AB776D" w:rsidRDefault="003D6523">
      <w:pPr>
        <w:jc w:val="center"/>
        <w:rPr>
          <w:rFonts w:ascii="Arial Black" w:hAnsi="Arial Black"/>
          <w:color w:val="800080"/>
          <w:sz w:val="44"/>
          <w:szCs w:val="44"/>
        </w:rPr>
      </w:pPr>
      <w:r w:rsidRPr="00AB776D">
        <w:rPr>
          <w:rFonts w:ascii="Arial Black" w:hAnsi="Arial Black"/>
          <w:color w:val="800080"/>
          <w:sz w:val="44"/>
          <w:szCs w:val="44"/>
        </w:rPr>
        <w:lastRenderedPageBreak/>
        <w:t>LIPIDI V PLAZMI</w:t>
      </w:r>
    </w:p>
    <w:p w:rsidR="003D6523" w:rsidRPr="00AB776D" w:rsidRDefault="003D6523">
      <w:pPr>
        <w:shd w:val="clear" w:color="auto" w:fill="FFFFFF"/>
        <w:spacing w:before="100" w:beforeAutospacing="1" w:after="100" w:afterAutospacing="1"/>
        <w:rPr>
          <w:rFonts w:ascii="Arial Black" w:hAnsi="Arial Black"/>
          <w:b/>
          <w:color w:val="800080"/>
        </w:rPr>
      </w:pPr>
      <w:r w:rsidRPr="00AB776D">
        <w:rPr>
          <w:rFonts w:ascii="Arial Black" w:hAnsi="Arial Black"/>
          <w:b/>
          <w:color w:val="800080"/>
        </w:rPr>
        <w:t>RAZVRSTITEV LIPIDOV</w:t>
      </w:r>
    </w:p>
    <w:p w:rsidR="003D6523" w:rsidRPr="00AB776D" w:rsidRDefault="003D6523">
      <w:pPr>
        <w:shd w:val="clear" w:color="auto" w:fill="FFFFFF"/>
        <w:spacing w:before="100" w:beforeAutospacing="1" w:after="100" w:afterAutospacing="1"/>
        <w:rPr>
          <w:rFonts w:ascii="Times New Roman" w:hAnsi="Times New Roman"/>
          <w:b/>
          <w:color w:val="800080"/>
          <w:sz w:val="24"/>
          <w:szCs w:val="24"/>
        </w:rPr>
      </w:pPr>
      <w:r w:rsidRPr="00AB776D">
        <w:rPr>
          <w:rFonts w:ascii="Times New Roman" w:hAnsi="Times New Roman"/>
          <w:color w:val="000000"/>
          <w:sz w:val="24"/>
          <w:szCs w:val="24"/>
        </w:rPr>
        <w:t>Lipidi so snovi, ki so slabo topne v vodi in dobro topne v nepolarnih topilih, predstavljajo energijsko rezervo, sestavljajo membrane celic in njihovih organelov ter imajo še vrsto drugih bioloških funkcij.</w:t>
      </w:r>
    </w:p>
    <w:tbl>
      <w:tblPr>
        <w:tblW w:w="9082" w:type="dxa"/>
        <w:tblCellMar>
          <w:left w:w="0" w:type="dxa"/>
          <w:right w:w="0" w:type="dxa"/>
        </w:tblCellMar>
        <w:tblLook w:val="0000" w:firstRow="0" w:lastRow="0" w:firstColumn="0" w:lastColumn="0" w:noHBand="0" w:noVBand="0"/>
      </w:tblPr>
      <w:tblGrid>
        <w:gridCol w:w="4630"/>
        <w:gridCol w:w="4452"/>
      </w:tblGrid>
      <w:tr w:rsidR="003D6523" w:rsidRPr="00AB776D">
        <w:trPr>
          <w:trHeight w:val="337"/>
        </w:trPr>
        <w:tc>
          <w:tcPr>
            <w:tcW w:w="4630" w:type="dxa"/>
            <w:tcBorders>
              <w:top w:val="single" w:sz="8" w:space="0" w:color="auto"/>
              <w:left w:val="single" w:sz="8" w:space="0" w:color="auto"/>
              <w:bottom w:val="single" w:sz="12" w:space="0" w:color="auto"/>
              <w:right w:val="single" w:sz="12" w:space="0" w:color="auto"/>
            </w:tcBorders>
            <w:tcMar>
              <w:top w:w="0" w:type="dxa"/>
              <w:left w:w="70" w:type="dxa"/>
              <w:bottom w:w="0" w:type="dxa"/>
              <w:right w:w="70" w:type="dxa"/>
            </w:tcMar>
            <w:vAlign w:val="center"/>
          </w:tcPr>
          <w:p w:rsidR="003D6523" w:rsidRPr="00AB776D" w:rsidRDefault="003D6523">
            <w:pPr>
              <w:spacing w:before="100" w:beforeAutospacing="1" w:after="100" w:afterAutospacing="1"/>
              <w:jc w:val="center"/>
              <w:rPr>
                <w:color w:val="800080"/>
              </w:rPr>
            </w:pPr>
            <w:r w:rsidRPr="00AB776D">
              <w:rPr>
                <w:b/>
                <w:bCs/>
                <w:color w:val="800080"/>
              </w:rPr>
              <w:t>ENOSTAVNI LIPIDI</w:t>
            </w:r>
          </w:p>
        </w:tc>
        <w:tc>
          <w:tcPr>
            <w:tcW w:w="4452" w:type="dxa"/>
            <w:tcBorders>
              <w:top w:val="single" w:sz="8" w:space="0" w:color="auto"/>
              <w:left w:val="nil"/>
              <w:bottom w:val="single" w:sz="12" w:space="0" w:color="auto"/>
              <w:right w:val="single" w:sz="8" w:space="0" w:color="auto"/>
            </w:tcBorders>
            <w:tcMar>
              <w:top w:w="0" w:type="dxa"/>
              <w:left w:w="70" w:type="dxa"/>
              <w:bottom w:w="0" w:type="dxa"/>
              <w:right w:w="70" w:type="dxa"/>
            </w:tcMar>
            <w:vAlign w:val="center"/>
          </w:tcPr>
          <w:p w:rsidR="003D6523" w:rsidRPr="00AB776D" w:rsidRDefault="003D6523">
            <w:pPr>
              <w:spacing w:before="100" w:beforeAutospacing="1" w:after="100" w:afterAutospacing="1"/>
              <w:jc w:val="center"/>
              <w:rPr>
                <w:color w:val="800080"/>
              </w:rPr>
            </w:pPr>
            <w:r w:rsidRPr="00AB776D">
              <w:rPr>
                <w:b/>
                <w:bCs/>
                <w:color w:val="800080"/>
              </w:rPr>
              <w:t>SESTAVLJENI LIPIDI</w:t>
            </w:r>
          </w:p>
        </w:tc>
      </w:tr>
      <w:tr w:rsidR="003D6523">
        <w:trPr>
          <w:trHeight w:val="2637"/>
        </w:trPr>
        <w:tc>
          <w:tcPr>
            <w:tcW w:w="4630" w:type="dxa"/>
            <w:tcBorders>
              <w:top w:val="nil"/>
              <w:left w:val="single" w:sz="8" w:space="0" w:color="auto"/>
              <w:bottom w:val="single" w:sz="8" w:space="0" w:color="auto"/>
              <w:right w:val="single" w:sz="12" w:space="0" w:color="auto"/>
            </w:tcBorders>
            <w:tcMar>
              <w:top w:w="0" w:type="dxa"/>
              <w:left w:w="70" w:type="dxa"/>
              <w:bottom w:w="0" w:type="dxa"/>
              <w:right w:w="70" w:type="dxa"/>
            </w:tcMar>
          </w:tcPr>
          <w:p w:rsidR="003D6523" w:rsidRPr="00AB776D" w:rsidRDefault="003D6523">
            <w:pPr>
              <w:numPr>
                <w:ilvl w:val="0"/>
                <w:numId w:val="2"/>
              </w:numPr>
              <w:spacing w:before="100" w:beforeAutospacing="1" w:after="100" w:afterAutospacing="1"/>
              <w:jc w:val="both"/>
              <w:rPr>
                <w:rFonts w:ascii="Tahoma" w:hAnsi="Tahoma" w:cs="Tahoma"/>
                <w:color w:val="000000"/>
                <w:sz w:val="20"/>
              </w:rPr>
            </w:pPr>
            <w:r w:rsidRPr="00AB776D">
              <w:rPr>
                <w:rFonts w:ascii="Tahoma" w:hAnsi="Tahoma" w:cs="Tahoma"/>
                <w:color w:val="000000"/>
                <w:sz w:val="20"/>
                <w:u w:val="single"/>
              </w:rPr>
              <w:t>Trigliceridi:</w:t>
            </w:r>
            <w:r w:rsidRPr="00AB776D">
              <w:rPr>
                <w:rFonts w:ascii="Tahoma" w:hAnsi="Tahoma" w:cs="Tahoma"/>
                <w:color w:val="000000"/>
                <w:sz w:val="20"/>
              </w:rPr>
              <w:t xml:space="preserve"> so estri glicerola in treh maščobnih kislin. So nepolarni in s tem netopni v vodi. So energijsko bogate molekule, ki se v telesu shranjujejo v precejšnjih množinah, ne da bi bile za to potrebne velike količine vode kot topila. </w:t>
            </w:r>
          </w:p>
          <w:p w:rsidR="003D6523" w:rsidRPr="00AB776D" w:rsidRDefault="003D6523">
            <w:pPr>
              <w:numPr>
                <w:ilvl w:val="0"/>
                <w:numId w:val="2"/>
              </w:numPr>
              <w:spacing w:before="100" w:beforeAutospacing="1" w:after="100" w:afterAutospacing="1"/>
              <w:jc w:val="both"/>
              <w:rPr>
                <w:rFonts w:ascii="Tahoma" w:hAnsi="Tahoma" w:cs="Tahoma"/>
                <w:color w:val="000000"/>
                <w:sz w:val="20"/>
              </w:rPr>
            </w:pPr>
            <w:r w:rsidRPr="00AB776D">
              <w:rPr>
                <w:rFonts w:ascii="Tahoma" w:hAnsi="Tahoma" w:cs="Tahoma"/>
                <w:color w:val="000000"/>
                <w:sz w:val="20"/>
                <w:u w:val="single"/>
              </w:rPr>
              <w:t xml:space="preserve">Voski: </w:t>
            </w:r>
            <w:r w:rsidRPr="00AB776D">
              <w:rPr>
                <w:rFonts w:ascii="Tahoma" w:hAnsi="Tahoma" w:cs="Tahoma"/>
                <w:color w:val="000000"/>
                <w:sz w:val="20"/>
              </w:rPr>
              <w:t>so estri nasičenih in nenasičenih maščobnih kislin z dolgini verigami in alkohola, ki je prav tako sestavljen iz dolge verige (višja temperatura tališča kot pri trigliceridih)</w:t>
            </w:r>
          </w:p>
          <w:p w:rsidR="003D6523" w:rsidRPr="00AB776D" w:rsidRDefault="003D6523">
            <w:pPr>
              <w:spacing w:before="100" w:beforeAutospacing="1" w:after="100" w:afterAutospacing="1"/>
              <w:rPr>
                <w:color w:val="000000"/>
                <w:sz w:val="20"/>
              </w:rPr>
            </w:pPr>
            <w:r w:rsidRPr="00AB776D">
              <w:rPr>
                <w:color w:val="000000"/>
                <w:sz w:val="20"/>
              </w:rPr>
              <w:t> </w:t>
            </w:r>
          </w:p>
        </w:tc>
        <w:tc>
          <w:tcPr>
            <w:tcW w:w="4452" w:type="dxa"/>
            <w:tcBorders>
              <w:top w:val="nil"/>
              <w:left w:val="nil"/>
              <w:bottom w:val="single" w:sz="8" w:space="0" w:color="auto"/>
              <w:right w:val="single" w:sz="8" w:space="0" w:color="auto"/>
            </w:tcBorders>
            <w:tcMar>
              <w:top w:w="0" w:type="dxa"/>
              <w:left w:w="70" w:type="dxa"/>
              <w:bottom w:w="0" w:type="dxa"/>
              <w:right w:w="70" w:type="dxa"/>
            </w:tcMar>
          </w:tcPr>
          <w:p w:rsidR="003D6523" w:rsidRPr="00AB776D" w:rsidRDefault="003D6523">
            <w:pPr>
              <w:numPr>
                <w:ilvl w:val="0"/>
                <w:numId w:val="3"/>
              </w:numPr>
              <w:spacing w:before="100" w:beforeAutospacing="1" w:after="100" w:afterAutospacing="1"/>
              <w:jc w:val="both"/>
              <w:rPr>
                <w:rFonts w:ascii="Tahoma" w:hAnsi="Tahoma" w:cs="Tahoma"/>
                <w:color w:val="000000"/>
                <w:sz w:val="20"/>
              </w:rPr>
            </w:pPr>
            <w:r w:rsidRPr="00AB776D">
              <w:rPr>
                <w:rFonts w:ascii="Tahoma" w:hAnsi="Tahoma" w:cs="Tahoma"/>
                <w:color w:val="000000"/>
                <w:sz w:val="20"/>
                <w:u w:val="single"/>
              </w:rPr>
              <w:t>Glicerofosfolipidi:</w:t>
            </w:r>
            <w:r w:rsidRPr="00AB776D">
              <w:rPr>
                <w:rFonts w:ascii="Tahoma" w:hAnsi="Tahoma" w:cs="Tahoma"/>
                <w:color w:val="000000"/>
                <w:sz w:val="20"/>
              </w:rPr>
              <w:t xml:space="preserve"> Ena hidroksilna skupina glicerola je zaestrena s fosforno kislino, drugi dve pa z maščobnima kislinama. Hidrofilni del molekule je glicerol, na katerega je vezana fosfatna skupina, hidrofobni del pa tvorita repa maščobnih kislin. </w:t>
            </w:r>
          </w:p>
          <w:p w:rsidR="003D6523" w:rsidRPr="00AB776D" w:rsidRDefault="003D6523">
            <w:pPr>
              <w:numPr>
                <w:ilvl w:val="0"/>
                <w:numId w:val="3"/>
              </w:numPr>
              <w:spacing w:before="100" w:beforeAutospacing="1" w:after="100" w:afterAutospacing="1"/>
              <w:jc w:val="both"/>
              <w:rPr>
                <w:rFonts w:ascii="Tahoma" w:hAnsi="Tahoma" w:cs="Tahoma"/>
                <w:color w:val="000000"/>
                <w:sz w:val="20"/>
              </w:rPr>
            </w:pPr>
            <w:r w:rsidRPr="00AB776D">
              <w:rPr>
                <w:rFonts w:ascii="Tahoma" w:hAnsi="Tahoma" w:cs="Tahoma"/>
                <w:color w:val="000000"/>
                <w:sz w:val="20"/>
                <w:u w:val="single"/>
              </w:rPr>
              <w:t>Sfingolipidi:</w:t>
            </w:r>
            <w:r w:rsidRPr="00AB776D">
              <w:rPr>
                <w:rFonts w:ascii="Tahoma" w:hAnsi="Tahoma" w:cs="Tahoma"/>
                <w:color w:val="000000"/>
                <w:sz w:val="20"/>
              </w:rPr>
              <w:t xml:space="preserve"> Alkoholna komponente molekule je aminoalkohol svingozin. Delimo jih na sfingomieline, nevtralne glikolipide in gangliozide. </w:t>
            </w:r>
          </w:p>
          <w:p w:rsidR="003D6523" w:rsidRPr="00AB776D" w:rsidRDefault="003D6523">
            <w:pPr>
              <w:numPr>
                <w:ilvl w:val="0"/>
                <w:numId w:val="3"/>
              </w:numPr>
              <w:spacing w:before="100" w:beforeAutospacing="1" w:after="100" w:afterAutospacing="1"/>
              <w:jc w:val="both"/>
              <w:rPr>
                <w:rFonts w:ascii="Tahoma" w:hAnsi="Tahoma" w:cs="Tahoma"/>
                <w:color w:val="000000"/>
                <w:sz w:val="20"/>
              </w:rPr>
            </w:pPr>
            <w:r w:rsidRPr="00AB776D">
              <w:rPr>
                <w:rFonts w:ascii="Tahoma" w:hAnsi="Tahoma" w:cs="Tahoma"/>
                <w:color w:val="000000"/>
                <w:sz w:val="20"/>
                <w:u w:val="single"/>
              </w:rPr>
              <w:t>Steroidi</w:t>
            </w:r>
            <w:r w:rsidRPr="00AB776D">
              <w:rPr>
                <w:rFonts w:ascii="Tahoma" w:hAnsi="Tahoma" w:cs="Tahoma"/>
                <w:color w:val="000000"/>
                <w:sz w:val="20"/>
              </w:rPr>
              <w:t xml:space="preserve"> </w:t>
            </w:r>
          </w:p>
          <w:p w:rsidR="003D6523" w:rsidRPr="00AB776D" w:rsidRDefault="003D6523">
            <w:pPr>
              <w:numPr>
                <w:ilvl w:val="0"/>
                <w:numId w:val="3"/>
              </w:numPr>
              <w:spacing w:before="100" w:beforeAutospacing="1" w:after="100" w:afterAutospacing="1"/>
              <w:jc w:val="both"/>
              <w:rPr>
                <w:rFonts w:ascii="Tahoma" w:hAnsi="Tahoma" w:cs="Tahoma"/>
                <w:color w:val="000000"/>
                <w:sz w:val="20"/>
              </w:rPr>
            </w:pPr>
            <w:r w:rsidRPr="00AB776D">
              <w:rPr>
                <w:rFonts w:ascii="Tahoma" w:hAnsi="Tahoma" w:cs="Tahoma"/>
                <w:color w:val="000000"/>
                <w:sz w:val="20"/>
                <w:u w:val="single"/>
              </w:rPr>
              <w:t>Ketonska telesa</w:t>
            </w:r>
          </w:p>
        </w:tc>
      </w:tr>
    </w:tbl>
    <w:p w:rsidR="003D6523" w:rsidRDefault="003D6523"/>
    <w:p w:rsidR="003D6523" w:rsidRPr="00AB776D" w:rsidRDefault="003D6523">
      <w:pPr>
        <w:rPr>
          <w:rFonts w:ascii="Arial Black" w:hAnsi="Arial Black"/>
          <w:b/>
          <w:color w:val="800080"/>
        </w:rPr>
      </w:pPr>
      <w:r w:rsidRPr="00AB776D">
        <w:rPr>
          <w:rFonts w:ascii="Arial Black" w:hAnsi="Arial Black"/>
          <w:b/>
          <w:color w:val="800080"/>
        </w:rPr>
        <w:t>RAZDELITEV LIPOPROTEINOV</w:t>
      </w:r>
    </w:p>
    <w:p w:rsidR="003D6523" w:rsidRPr="00AB776D" w:rsidRDefault="003D6523">
      <w:pPr>
        <w:tabs>
          <w:tab w:val="left" w:pos="7060"/>
        </w:tabs>
        <w:jc w:val="both"/>
        <w:rPr>
          <w:rFonts w:ascii="Times New Roman" w:hAnsi="Times New Roman"/>
          <w:sz w:val="24"/>
          <w:szCs w:val="24"/>
        </w:rPr>
      </w:pPr>
      <w:r w:rsidRPr="00AB776D">
        <w:rPr>
          <w:rFonts w:ascii="Times New Roman" w:hAnsi="Times New Roman"/>
          <w:sz w:val="24"/>
          <w:szCs w:val="24"/>
        </w:rPr>
        <w:t xml:space="preserve">Zaradi hidrofobnosti osnovnih lipidov so le-ti v organizmih sesalcev večinoma vezani s proteini – apoproteini in fosfolipidi v kroglaste komplekse - lipoproteine, ki lahko potujejo v vodnem okolju. Njihova struktura in sestava sta genetsko določeni. </w:t>
      </w:r>
    </w:p>
    <w:p w:rsidR="003D6523" w:rsidRPr="00AB776D" w:rsidRDefault="003D6523">
      <w:pPr>
        <w:tabs>
          <w:tab w:val="left" w:pos="7060"/>
        </w:tabs>
        <w:jc w:val="both"/>
        <w:rPr>
          <w:rFonts w:ascii="Times New Roman" w:hAnsi="Times New Roman"/>
          <w:sz w:val="24"/>
          <w:szCs w:val="24"/>
        </w:rPr>
      </w:pPr>
      <w:r w:rsidRPr="00AB776D">
        <w:rPr>
          <w:rFonts w:ascii="Times New Roman" w:hAnsi="Times New Roman"/>
          <w:sz w:val="24"/>
          <w:szCs w:val="24"/>
        </w:rPr>
        <w:t xml:space="preserve">Jedro lipoproteinov tvorijo hidrofobni trigliceridi in holesterolni estri, zunanji del pa amfipatični fosfolipidi, nekaj prostega (neesterificiranega) holesterola ter apolipoproteini. </w:t>
      </w:r>
    </w:p>
    <w:p w:rsidR="003D6523" w:rsidRPr="00AB776D" w:rsidRDefault="003D6523">
      <w:pPr>
        <w:tabs>
          <w:tab w:val="left" w:pos="7060"/>
        </w:tabs>
        <w:jc w:val="both"/>
        <w:rPr>
          <w:rFonts w:ascii="Times New Roman" w:hAnsi="Times New Roman"/>
          <w:sz w:val="24"/>
          <w:szCs w:val="24"/>
        </w:rPr>
      </w:pPr>
      <w:r w:rsidRPr="00AB776D">
        <w:rPr>
          <w:rFonts w:ascii="Times New Roman" w:hAnsi="Times New Roman"/>
          <w:sz w:val="24"/>
          <w:szCs w:val="24"/>
        </w:rPr>
        <w:t>Lipoproteine glede na gostoto delimo v pet skupin (tabela 2).</w:t>
      </w:r>
    </w:p>
    <w:p w:rsidR="003D6523" w:rsidRDefault="003D6523">
      <w:pPr>
        <w:tabs>
          <w:tab w:val="left" w:pos="7060"/>
        </w:tabs>
        <w:jc w:val="both"/>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45"/>
        <w:gridCol w:w="1346"/>
        <w:gridCol w:w="1346"/>
        <w:gridCol w:w="1346"/>
        <w:gridCol w:w="1346"/>
        <w:gridCol w:w="1346"/>
      </w:tblGrid>
      <w:tr w:rsidR="003D6523">
        <w:trPr>
          <w:trHeight w:val="256"/>
          <w:jc w:val="center"/>
        </w:trPr>
        <w:tc>
          <w:tcPr>
            <w:tcW w:w="1345" w:type="dxa"/>
            <w:tcBorders>
              <w:top w:val="single" w:sz="4" w:space="0" w:color="auto"/>
              <w:left w:val="single" w:sz="4" w:space="0" w:color="auto"/>
              <w:bottom w:val="double" w:sz="4" w:space="0" w:color="auto"/>
              <w:right w:val="double" w:sz="4" w:space="0" w:color="auto"/>
            </w:tcBorders>
            <w:shd w:val="clear" w:color="auto" w:fill="E0E0E0"/>
            <w:vAlign w:val="center"/>
          </w:tcPr>
          <w:p w:rsidR="003D6523" w:rsidRDefault="003D6523">
            <w:pPr>
              <w:pStyle w:val="Heading1"/>
              <w:rPr>
                <w:sz w:val="20"/>
              </w:rPr>
            </w:pPr>
          </w:p>
        </w:tc>
        <w:tc>
          <w:tcPr>
            <w:tcW w:w="1346" w:type="dxa"/>
            <w:tcBorders>
              <w:top w:val="single" w:sz="4" w:space="0" w:color="auto"/>
              <w:left w:val="double" w:sz="4" w:space="0" w:color="auto"/>
              <w:bottom w:val="double" w:sz="4" w:space="0" w:color="auto"/>
              <w:right w:val="single" w:sz="4" w:space="0" w:color="auto"/>
            </w:tcBorders>
            <w:shd w:val="clear" w:color="auto" w:fill="E0E0E0"/>
            <w:vAlign w:val="center"/>
          </w:tcPr>
          <w:p w:rsidR="003D6523" w:rsidRDefault="003D6523">
            <w:pPr>
              <w:pStyle w:val="Heading1"/>
              <w:rPr>
                <w:b w:val="0"/>
                <w:sz w:val="20"/>
              </w:rPr>
            </w:pPr>
            <w:r>
              <w:rPr>
                <w:b w:val="0"/>
                <w:sz w:val="20"/>
              </w:rPr>
              <w:t>Gostota g/dl</w:t>
            </w:r>
          </w:p>
        </w:tc>
        <w:tc>
          <w:tcPr>
            <w:tcW w:w="1346" w:type="dxa"/>
            <w:tcBorders>
              <w:top w:val="single" w:sz="4" w:space="0" w:color="auto"/>
              <w:left w:val="single" w:sz="4" w:space="0" w:color="auto"/>
              <w:bottom w:val="double" w:sz="4" w:space="0" w:color="auto"/>
              <w:right w:val="single" w:sz="4" w:space="0" w:color="auto"/>
            </w:tcBorders>
            <w:shd w:val="clear" w:color="auto" w:fill="E0E0E0"/>
            <w:vAlign w:val="center"/>
          </w:tcPr>
          <w:p w:rsidR="003D6523" w:rsidRDefault="003D6523">
            <w:pPr>
              <w:pStyle w:val="Heading1"/>
              <w:rPr>
                <w:b w:val="0"/>
                <w:sz w:val="20"/>
              </w:rPr>
            </w:pPr>
            <w:r>
              <w:rPr>
                <w:b w:val="0"/>
                <w:sz w:val="20"/>
              </w:rPr>
              <w:t>Premer nm</w:t>
            </w:r>
          </w:p>
        </w:tc>
        <w:tc>
          <w:tcPr>
            <w:tcW w:w="1346" w:type="dxa"/>
            <w:tcBorders>
              <w:top w:val="single" w:sz="4" w:space="0" w:color="auto"/>
              <w:left w:val="single" w:sz="4" w:space="0" w:color="auto"/>
              <w:bottom w:val="double" w:sz="4" w:space="0" w:color="auto"/>
              <w:right w:val="single" w:sz="4" w:space="0" w:color="auto"/>
            </w:tcBorders>
            <w:shd w:val="clear" w:color="auto" w:fill="E0E0E0"/>
            <w:vAlign w:val="center"/>
          </w:tcPr>
          <w:p w:rsidR="003D6523" w:rsidRDefault="003D6523">
            <w:pPr>
              <w:pStyle w:val="Heading1"/>
              <w:ind w:left="1416" w:hanging="1416"/>
              <w:rPr>
                <w:b w:val="0"/>
                <w:sz w:val="20"/>
              </w:rPr>
            </w:pPr>
            <w:r>
              <w:rPr>
                <w:b w:val="0"/>
                <w:sz w:val="20"/>
              </w:rPr>
              <w:t>TAG %</w:t>
            </w:r>
          </w:p>
        </w:tc>
        <w:tc>
          <w:tcPr>
            <w:tcW w:w="1346" w:type="dxa"/>
            <w:tcBorders>
              <w:top w:val="single" w:sz="4" w:space="0" w:color="auto"/>
              <w:left w:val="single" w:sz="4" w:space="0" w:color="auto"/>
              <w:bottom w:val="double" w:sz="4" w:space="0" w:color="auto"/>
              <w:right w:val="single" w:sz="4" w:space="0" w:color="auto"/>
            </w:tcBorders>
            <w:shd w:val="clear" w:color="auto" w:fill="E0E0E0"/>
            <w:vAlign w:val="center"/>
          </w:tcPr>
          <w:p w:rsidR="003D6523" w:rsidRDefault="003D6523">
            <w:pPr>
              <w:pStyle w:val="Heading1"/>
              <w:rPr>
                <w:b w:val="0"/>
                <w:sz w:val="20"/>
              </w:rPr>
            </w:pPr>
            <w:r>
              <w:rPr>
                <w:b w:val="0"/>
                <w:sz w:val="20"/>
              </w:rPr>
              <w:t>holesterol %</w:t>
            </w:r>
          </w:p>
        </w:tc>
        <w:tc>
          <w:tcPr>
            <w:tcW w:w="1346" w:type="dxa"/>
            <w:tcBorders>
              <w:top w:val="single" w:sz="4" w:space="0" w:color="auto"/>
              <w:left w:val="single" w:sz="4" w:space="0" w:color="auto"/>
              <w:bottom w:val="double" w:sz="4" w:space="0" w:color="auto"/>
              <w:right w:val="single" w:sz="4" w:space="0" w:color="auto"/>
            </w:tcBorders>
            <w:shd w:val="clear" w:color="auto" w:fill="E0E0E0"/>
            <w:vAlign w:val="center"/>
          </w:tcPr>
          <w:p w:rsidR="003D6523" w:rsidRDefault="003D6523">
            <w:pPr>
              <w:pStyle w:val="Heading1"/>
              <w:rPr>
                <w:b w:val="0"/>
                <w:sz w:val="20"/>
              </w:rPr>
            </w:pPr>
            <w:r>
              <w:rPr>
                <w:b w:val="0"/>
                <w:sz w:val="20"/>
              </w:rPr>
              <w:t>fosfolipidi %</w:t>
            </w:r>
          </w:p>
        </w:tc>
      </w:tr>
      <w:tr w:rsidR="003D6523">
        <w:trPr>
          <w:trHeight w:val="256"/>
          <w:jc w:val="center"/>
        </w:trPr>
        <w:tc>
          <w:tcPr>
            <w:tcW w:w="1345" w:type="dxa"/>
            <w:tcBorders>
              <w:top w:val="double" w:sz="4" w:space="0" w:color="auto"/>
              <w:left w:val="single" w:sz="4" w:space="0" w:color="auto"/>
              <w:bottom w:val="single" w:sz="4" w:space="0" w:color="auto"/>
              <w:right w:val="double" w:sz="4" w:space="0" w:color="auto"/>
            </w:tcBorders>
            <w:shd w:val="clear" w:color="auto" w:fill="E0E0E0"/>
            <w:vAlign w:val="center"/>
          </w:tcPr>
          <w:p w:rsidR="003D6523" w:rsidRDefault="003D6523">
            <w:pPr>
              <w:pStyle w:val="Heading1"/>
              <w:rPr>
                <w:b w:val="0"/>
                <w:sz w:val="20"/>
              </w:rPr>
            </w:pPr>
            <w:r>
              <w:rPr>
                <w:b w:val="0"/>
                <w:sz w:val="20"/>
              </w:rPr>
              <w:t>Hilomikroni</w:t>
            </w:r>
          </w:p>
        </w:tc>
        <w:tc>
          <w:tcPr>
            <w:tcW w:w="1346" w:type="dxa"/>
            <w:tcBorders>
              <w:top w:val="double" w:sz="4" w:space="0" w:color="auto"/>
              <w:left w:val="double" w:sz="4" w:space="0" w:color="auto"/>
              <w:bottom w:val="single" w:sz="4" w:space="0" w:color="auto"/>
              <w:right w:val="single" w:sz="4" w:space="0" w:color="auto"/>
            </w:tcBorders>
            <w:vAlign w:val="center"/>
          </w:tcPr>
          <w:p w:rsidR="003D6523" w:rsidRDefault="003D6523">
            <w:pPr>
              <w:pStyle w:val="Heading1"/>
              <w:rPr>
                <w:sz w:val="20"/>
              </w:rPr>
            </w:pPr>
            <w:r>
              <w:rPr>
                <w:sz w:val="20"/>
              </w:rPr>
              <w:t>0,95</w:t>
            </w:r>
          </w:p>
        </w:tc>
        <w:tc>
          <w:tcPr>
            <w:tcW w:w="1346" w:type="dxa"/>
            <w:tcBorders>
              <w:top w:val="doub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75 – 1200</w:t>
            </w:r>
          </w:p>
        </w:tc>
        <w:tc>
          <w:tcPr>
            <w:tcW w:w="1346" w:type="dxa"/>
            <w:tcBorders>
              <w:top w:val="doub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80 – 95</w:t>
            </w:r>
          </w:p>
        </w:tc>
        <w:tc>
          <w:tcPr>
            <w:tcW w:w="1346" w:type="dxa"/>
            <w:tcBorders>
              <w:top w:val="doub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2 – 7</w:t>
            </w:r>
          </w:p>
        </w:tc>
        <w:tc>
          <w:tcPr>
            <w:tcW w:w="1346" w:type="dxa"/>
            <w:tcBorders>
              <w:top w:val="doub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3 – 9</w:t>
            </w:r>
          </w:p>
        </w:tc>
      </w:tr>
      <w:tr w:rsidR="003D6523">
        <w:trPr>
          <w:trHeight w:val="256"/>
          <w:jc w:val="center"/>
        </w:trPr>
        <w:tc>
          <w:tcPr>
            <w:tcW w:w="1345"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pStyle w:val="Heading1"/>
              <w:rPr>
                <w:b w:val="0"/>
                <w:sz w:val="20"/>
              </w:rPr>
            </w:pPr>
            <w:r>
              <w:rPr>
                <w:b w:val="0"/>
                <w:sz w:val="20"/>
              </w:rPr>
              <w:t>VLDL</w:t>
            </w:r>
          </w:p>
        </w:tc>
        <w:tc>
          <w:tcPr>
            <w:tcW w:w="1346" w:type="dxa"/>
            <w:tcBorders>
              <w:top w:val="single" w:sz="4" w:space="0" w:color="auto"/>
              <w:left w:val="double" w:sz="4" w:space="0" w:color="auto"/>
              <w:bottom w:val="single" w:sz="4" w:space="0" w:color="auto"/>
              <w:right w:val="single" w:sz="4" w:space="0" w:color="auto"/>
            </w:tcBorders>
            <w:vAlign w:val="center"/>
          </w:tcPr>
          <w:p w:rsidR="003D6523" w:rsidRDefault="003D6523">
            <w:pPr>
              <w:pStyle w:val="Heading1"/>
              <w:rPr>
                <w:sz w:val="20"/>
              </w:rPr>
            </w:pPr>
            <w:r>
              <w:rPr>
                <w:sz w:val="20"/>
              </w:rPr>
              <w:t>0,95 - 1,006</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30 – 80</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55 – 80</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5 – 15</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10 – 20</w:t>
            </w:r>
          </w:p>
        </w:tc>
      </w:tr>
      <w:tr w:rsidR="003D6523">
        <w:trPr>
          <w:trHeight w:val="256"/>
          <w:jc w:val="center"/>
        </w:trPr>
        <w:tc>
          <w:tcPr>
            <w:tcW w:w="1345"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pStyle w:val="Heading1"/>
              <w:rPr>
                <w:b w:val="0"/>
                <w:sz w:val="20"/>
              </w:rPr>
            </w:pPr>
            <w:r>
              <w:rPr>
                <w:b w:val="0"/>
                <w:sz w:val="20"/>
              </w:rPr>
              <w:t>IDL</w:t>
            </w:r>
          </w:p>
        </w:tc>
        <w:tc>
          <w:tcPr>
            <w:tcW w:w="1346" w:type="dxa"/>
            <w:tcBorders>
              <w:top w:val="single" w:sz="4" w:space="0" w:color="auto"/>
              <w:left w:val="double" w:sz="4" w:space="0" w:color="auto"/>
              <w:bottom w:val="single" w:sz="4" w:space="0" w:color="auto"/>
              <w:right w:val="single" w:sz="4" w:space="0" w:color="auto"/>
            </w:tcBorders>
            <w:vAlign w:val="center"/>
          </w:tcPr>
          <w:p w:rsidR="003D6523" w:rsidRDefault="003D6523">
            <w:pPr>
              <w:pStyle w:val="Heading1"/>
              <w:rPr>
                <w:sz w:val="20"/>
              </w:rPr>
            </w:pPr>
            <w:r>
              <w:rPr>
                <w:sz w:val="20"/>
              </w:rPr>
              <w:t>1,006 - 1,019</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25 – 35</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20 – 50</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20 – 40</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15 – 25</w:t>
            </w:r>
          </w:p>
        </w:tc>
      </w:tr>
      <w:tr w:rsidR="003D6523">
        <w:trPr>
          <w:trHeight w:val="256"/>
          <w:jc w:val="center"/>
        </w:trPr>
        <w:tc>
          <w:tcPr>
            <w:tcW w:w="1345"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pStyle w:val="Heading1"/>
              <w:rPr>
                <w:b w:val="0"/>
                <w:sz w:val="20"/>
              </w:rPr>
            </w:pPr>
            <w:r>
              <w:rPr>
                <w:b w:val="0"/>
                <w:sz w:val="20"/>
              </w:rPr>
              <w:t>LDL</w:t>
            </w:r>
          </w:p>
        </w:tc>
        <w:tc>
          <w:tcPr>
            <w:tcW w:w="1346" w:type="dxa"/>
            <w:tcBorders>
              <w:top w:val="single" w:sz="4" w:space="0" w:color="auto"/>
              <w:left w:val="double" w:sz="4" w:space="0" w:color="auto"/>
              <w:bottom w:val="single" w:sz="4" w:space="0" w:color="auto"/>
              <w:right w:val="single" w:sz="4" w:space="0" w:color="auto"/>
            </w:tcBorders>
            <w:vAlign w:val="center"/>
          </w:tcPr>
          <w:p w:rsidR="003D6523" w:rsidRDefault="003D6523">
            <w:pPr>
              <w:pStyle w:val="Heading1"/>
              <w:rPr>
                <w:sz w:val="20"/>
              </w:rPr>
            </w:pPr>
            <w:r>
              <w:rPr>
                <w:sz w:val="20"/>
              </w:rPr>
              <w:t>1,019 - 1,063</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18 – 25</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5 – 15</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40 – 50</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20 – 25</w:t>
            </w:r>
          </w:p>
        </w:tc>
      </w:tr>
      <w:tr w:rsidR="003D6523">
        <w:trPr>
          <w:trHeight w:val="280"/>
          <w:jc w:val="center"/>
        </w:trPr>
        <w:tc>
          <w:tcPr>
            <w:tcW w:w="1345"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pStyle w:val="Heading1"/>
              <w:rPr>
                <w:b w:val="0"/>
                <w:sz w:val="20"/>
              </w:rPr>
            </w:pPr>
            <w:r>
              <w:rPr>
                <w:b w:val="0"/>
                <w:sz w:val="20"/>
              </w:rPr>
              <w:t>HDL</w:t>
            </w:r>
          </w:p>
        </w:tc>
        <w:tc>
          <w:tcPr>
            <w:tcW w:w="1346" w:type="dxa"/>
            <w:tcBorders>
              <w:top w:val="single" w:sz="4" w:space="0" w:color="auto"/>
              <w:left w:val="double" w:sz="4" w:space="0" w:color="auto"/>
              <w:bottom w:val="single" w:sz="4" w:space="0" w:color="auto"/>
              <w:right w:val="single" w:sz="4" w:space="0" w:color="auto"/>
            </w:tcBorders>
            <w:vAlign w:val="center"/>
          </w:tcPr>
          <w:p w:rsidR="003D6523" w:rsidRDefault="003D6523">
            <w:pPr>
              <w:pStyle w:val="Heading1"/>
              <w:rPr>
                <w:sz w:val="20"/>
              </w:rPr>
            </w:pPr>
            <w:r>
              <w:rPr>
                <w:sz w:val="20"/>
              </w:rPr>
              <w:t>1,063 - 1,210</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5 – 12</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5 – 10</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15 – 25</w:t>
            </w:r>
          </w:p>
        </w:tc>
        <w:tc>
          <w:tcPr>
            <w:tcW w:w="1346" w:type="dxa"/>
            <w:tcBorders>
              <w:top w:val="single" w:sz="4" w:space="0" w:color="auto"/>
              <w:left w:val="single" w:sz="4" w:space="0" w:color="auto"/>
              <w:bottom w:val="single" w:sz="4" w:space="0" w:color="auto"/>
              <w:right w:val="single" w:sz="4" w:space="0" w:color="auto"/>
            </w:tcBorders>
            <w:vAlign w:val="center"/>
          </w:tcPr>
          <w:p w:rsidR="003D6523" w:rsidRDefault="003D6523">
            <w:pPr>
              <w:pStyle w:val="Heading1"/>
              <w:rPr>
                <w:sz w:val="20"/>
              </w:rPr>
            </w:pPr>
            <w:r>
              <w:rPr>
                <w:sz w:val="20"/>
              </w:rPr>
              <w:t>20 – 30</w:t>
            </w:r>
          </w:p>
        </w:tc>
      </w:tr>
    </w:tbl>
    <w:p w:rsidR="003D6523" w:rsidRPr="00AB776D" w:rsidRDefault="003D6523">
      <w:pPr>
        <w:tabs>
          <w:tab w:val="left" w:pos="7060"/>
        </w:tabs>
        <w:jc w:val="both"/>
        <w:rPr>
          <w:rFonts w:ascii="Times New Roman" w:hAnsi="Times New Roman"/>
          <w:sz w:val="24"/>
          <w:szCs w:val="24"/>
        </w:rPr>
      </w:pPr>
      <w:r w:rsidRPr="00AB776D">
        <w:rPr>
          <w:rFonts w:ascii="Times New Roman" w:hAnsi="Times New Roman"/>
          <w:sz w:val="24"/>
          <w:szCs w:val="24"/>
        </w:rPr>
        <w:t>Tabela 2: Razdelitev liporpoteinov. VLDL = very low density lipoproteins, IDL = intermediate-density lipoproteins, LDL = low-density lipoproteins,  HDL = high-density lipoproteins, TAG = trigliceridi</w:t>
      </w:r>
    </w:p>
    <w:p w:rsidR="003D6523" w:rsidRPr="00AB776D" w:rsidRDefault="003D6523">
      <w:pPr>
        <w:tabs>
          <w:tab w:val="left" w:pos="7060"/>
        </w:tabs>
        <w:jc w:val="both"/>
        <w:rPr>
          <w:rFonts w:ascii="Times New Roman" w:hAnsi="Times New Roman"/>
          <w:sz w:val="24"/>
          <w:szCs w:val="24"/>
        </w:rPr>
      </w:pPr>
    </w:p>
    <w:p w:rsidR="003D6523" w:rsidRPr="00AB776D" w:rsidRDefault="003D6523">
      <w:pPr>
        <w:tabs>
          <w:tab w:val="left" w:pos="7060"/>
        </w:tabs>
        <w:jc w:val="both"/>
        <w:rPr>
          <w:rFonts w:ascii="Times New Roman" w:hAnsi="Times New Roman"/>
          <w:sz w:val="24"/>
          <w:szCs w:val="24"/>
        </w:rPr>
      </w:pPr>
      <w:r w:rsidRPr="00AB776D">
        <w:rPr>
          <w:rFonts w:ascii="Times New Roman" w:hAnsi="Times New Roman"/>
          <w:sz w:val="24"/>
          <w:szCs w:val="24"/>
        </w:rPr>
        <w:t>Na podlagi elektroforetske mobilnosti lipoproteine uvrščamo med hilomikrone in lipoproteine preβ (VLDL), β (IDL, LDL), α (HDL).</w:t>
      </w:r>
    </w:p>
    <w:p w:rsidR="003D6523" w:rsidRPr="00AB776D" w:rsidRDefault="003D6523">
      <w:pPr>
        <w:tabs>
          <w:tab w:val="left" w:pos="7060"/>
        </w:tabs>
        <w:jc w:val="both"/>
        <w:rPr>
          <w:sz w:val="24"/>
          <w:szCs w:val="24"/>
        </w:rPr>
      </w:pPr>
    </w:p>
    <w:p w:rsidR="00AB776D" w:rsidRDefault="00AB776D">
      <w:pPr>
        <w:tabs>
          <w:tab w:val="left" w:pos="7060"/>
        </w:tabs>
        <w:jc w:val="both"/>
        <w:rPr>
          <w:b/>
        </w:rPr>
      </w:pPr>
    </w:p>
    <w:p w:rsidR="00AB776D" w:rsidRDefault="00AB776D">
      <w:pPr>
        <w:tabs>
          <w:tab w:val="left" w:pos="7060"/>
        </w:tabs>
        <w:jc w:val="both"/>
        <w:rPr>
          <w:b/>
        </w:rPr>
      </w:pPr>
    </w:p>
    <w:p w:rsidR="003D6523" w:rsidRPr="00AB776D" w:rsidRDefault="003D6523">
      <w:pPr>
        <w:tabs>
          <w:tab w:val="left" w:pos="7060"/>
        </w:tabs>
        <w:jc w:val="both"/>
        <w:rPr>
          <w:rFonts w:ascii="Arial Black" w:hAnsi="Arial Black"/>
          <w:b/>
          <w:color w:val="800080"/>
        </w:rPr>
      </w:pPr>
      <w:r w:rsidRPr="00AB776D">
        <w:rPr>
          <w:rFonts w:ascii="Arial Black" w:hAnsi="Arial Black"/>
          <w:b/>
          <w:color w:val="800080"/>
        </w:rPr>
        <w:lastRenderedPageBreak/>
        <w:t>Apolipoproteini</w:t>
      </w:r>
    </w:p>
    <w:p w:rsidR="003D6523" w:rsidRPr="00AB776D" w:rsidRDefault="003D6523">
      <w:pPr>
        <w:tabs>
          <w:tab w:val="left" w:pos="7060"/>
        </w:tabs>
        <w:jc w:val="both"/>
        <w:rPr>
          <w:rFonts w:ascii="Times New Roman" w:hAnsi="Times New Roman"/>
          <w:sz w:val="24"/>
          <w:szCs w:val="24"/>
        </w:rPr>
      </w:pPr>
      <w:r w:rsidRPr="00AB776D">
        <w:rPr>
          <w:rFonts w:ascii="Times New Roman" w:hAnsi="Times New Roman"/>
          <w:sz w:val="24"/>
          <w:szCs w:val="24"/>
        </w:rPr>
        <w:t>So proteinske komponente na površini lipoproteinov. Stabilizirajo strukturno in določajo presnovno vlogo lipoproteinov, vplivajo na aktivnost encimov (LCAT, LPL) in vežejo lipoproteine na specifični površinski celični receptor.</w:t>
      </w:r>
    </w:p>
    <w:p w:rsidR="003D6523" w:rsidRDefault="003D6523">
      <w:pPr>
        <w:tabs>
          <w:tab w:val="left" w:pos="7060"/>
        </w:tabs>
        <w:jc w:val="both"/>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48"/>
        <w:gridCol w:w="3096"/>
        <w:gridCol w:w="1980"/>
        <w:gridCol w:w="2376"/>
      </w:tblGrid>
      <w:tr w:rsidR="003D6523">
        <w:trPr>
          <w:jc w:val="center"/>
        </w:trPr>
        <w:tc>
          <w:tcPr>
            <w:tcW w:w="1548"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jc w:val="center"/>
              <w:rPr>
                <w:sz w:val="20"/>
              </w:rPr>
            </w:pPr>
          </w:p>
        </w:tc>
        <w:tc>
          <w:tcPr>
            <w:tcW w:w="3096" w:type="dxa"/>
            <w:tcBorders>
              <w:top w:val="single" w:sz="4" w:space="0" w:color="auto"/>
              <w:left w:val="double" w:sz="4" w:space="0" w:color="auto"/>
              <w:bottom w:val="double" w:sz="4" w:space="0" w:color="auto"/>
              <w:right w:val="single" w:sz="4" w:space="0" w:color="auto"/>
            </w:tcBorders>
            <w:shd w:val="clear" w:color="auto" w:fill="E0E0E0"/>
            <w:vAlign w:val="center"/>
          </w:tcPr>
          <w:p w:rsidR="003D6523" w:rsidRDefault="003D6523">
            <w:pPr>
              <w:jc w:val="center"/>
              <w:rPr>
                <w:b/>
                <w:sz w:val="20"/>
              </w:rPr>
            </w:pPr>
            <w:r>
              <w:rPr>
                <w:b/>
                <w:sz w:val="20"/>
              </w:rPr>
              <w:t>Mesto sinteze</w:t>
            </w:r>
          </w:p>
        </w:tc>
        <w:tc>
          <w:tcPr>
            <w:tcW w:w="1980" w:type="dxa"/>
            <w:tcBorders>
              <w:top w:val="single" w:sz="4" w:space="0" w:color="auto"/>
              <w:left w:val="single" w:sz="4" w:space="0" w:color="auto"/>
              <w:bottom w:val="single" w:sz="4" w:space="0" w:color="auto"/>
              <w:right w:val="single" w:sz="4" w:space="0" w:color="auto"/>
            </w:tcBorders>
            <w:shd w:val="clear" w:color="auto" w:fill="E0E0E0"/>
            <w:vAlign w:val="center"/>
          </w:tcPr>
          <w:p w:rsidR="003D6523" w:rsidRDefault="003D6523">
            <w:pPr>
              <w:jc w:val="center"/>
              <w:rPr>
                <w:b/>
                <w:sz w:val="20"/>
              </w:rPr>
            </w:pPr>
            <w:r>
              <w:rPr>
                <w:b/>
                <w:sz w:val="20"/>
              </w:rPr>
              <w:t>Mesto nahajanja</w:t>
            </w:r>
          </w:p>
        </w:tc>
        <w:tc>
          <w:tcPr>
            <w:tcW w:w="2376" w:type="dxa"/>
            <w:tcBorders>
              <w:top w:val="single" w:sz="4" w:space="0" w:color="auto"/>
              <w:left w:val="single" w:sz="4" w:space="0" w:color="auto"/>
              <w:bottom w:val="double" w:sz="4" w:space="0" w:color="auto"/>
              <w:right w:val="single" w:sz="4" w:space="0" w:color="auto"/>
            </w:tcBorders>
            <w:shd w:val="clear" w:color="auto" w:fill="E0E0E0"/>
            <w:vAlign w:val="center"/>
          </w:tcPr>
          <w:p w:rsidR="003D6523" w:rsidRDefault="003D6523">
            <w:pPr>
              <w:jc w:val="center"/>
              <w:rPr>
                <w:b/>
                <w:sz w:val="20"/>
              </w:rPr>
            </w:pPr>
            <w:r>
              <w:rPr>
                <w:b/>
                <w:sz w:val="20"/>
              </w:rPr>
              <w:t>Funkcija</w:t>
            </w:r>
          </w:p>
        </w:tc>
      </w:tr>
      <w:tr w:rsidR="003D6523">
        <w:trPr>
          <w:cantSplit/>
          <w:jc w:val="center"/>
        </w:trPr>
        <w:tc>
          <w:tcPr>
            <w:tcW w:w="1548"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jc w:val="center"/>
              <w:rPr>
                <w:b/>
                <w:sz w:val="20"/>
              </w:rPr>
            </w:pPr>
            <w:r>
              <w:rPr>
                <w:b/>
                <w:sz w:val="20"/>
              </w:rPr>
              <w:t>Apo A</w:t>
            </w:r>
            <w:r>
              <w:rPr>
                <w:b/>
                <w:sz w:val="20"/>
                <w:vertAlign w:val="subscript"/>
              </w:rPr>
              <w:t>I</w:t>
            </w:r>
          </w:p>
        </w:tc>
        <w:tc>
          <w:tcPr>
            <w:tcW w:w="3096" w:type="dxa"/>
            <w:vMerge w:val="restart"/>
            <w:tcBorders>
              <w:top w:val="double" w:sz="4" w:space="0" w:color="auto"/>
              <w:left w:val="double" w:sz="4" w:space="0" w:color="auto"/>
              <w:bottom w:val="single" w:sz="4" w:space="0" w:color="auto"/>
              <w:right w:val="single" w:sz="4" w:space="0" w:color="auto"/>
            </w:tcBorders>
            <w:vAlign w:val="center"/>
          </w:tcPr>
          <w:p w:rsidR="003D6523" w:rsidRDefault="003D6523">
            <w:pPr>
              <w:jc w:val="center"/>
              <w:rPr>
                <w:sz w:val="20"/>
              </w:rPr>
            </w:pPr>
            <w:r>
              <w:rPr>
                <w:sz w:val="20"/>
              </w:rPr>
              <w:t>jetra, tanko črevo</w:t>
            </w:r>
          </w:p>
        </w:tc>
        <w:tc>
          <w:tcPr>
            <w:tcW w:w="1980" w:type="dxa"/>
            <w:vMerge w:val="restart"/>
            <w:tcBorders>
              <w:top w:val="double" w:sz="4" w:space="0" w:color="auto"/>
              <w:left w:val="single" w:sz="4" w:space="0" w:color="auto"/>
              <w:right w:val="single" w:sz="4" w:space="0" w:color="auto"/>
            </w:tcBorders>
            <w:vAlign w:val="center"/>
          </w:tcPr>
          <w:p w:rsidR="003D6523" w:rsidRDefault="003D6523">
            <w:pPr>
              <w:jc w:val="center"/>
              <w:rPr>
                <w:sz w:val="20"/>
              </w:rPr>
            </w:pPr>
            <w:r>
              <w:rPr>
                <w:sz w:val="20"/>
              </w:rPr>
              <w:t>hilomikroni, HDL</w:t>
            </w:r>
          </w:p>
        </w:tc>
        <w:tc>
          <w:tcPr>
            <w:tcW w:w="2376" w:type="dxa"/>
            <w:tcBorders>
              <w:top w:val="double" w:sz="4" w:space="0" w:color="auto"/>
              <w:left w:val="single" w:sz="4" w:space="0" w:color="auto"/>
              <w:bottom w:val="single" w:sz="4" w:space="0" w:color="auto"/>
              <w:right w:val="single" w:sz="4" w:space="0" w:color="auto"/>
            </w:tcBorders>
            <w:vAlign w:val="center"/>
          </w:tcPr>
          <w:p w:rsidR="003D6523" w:rsidRDefault="003D6523">
            <w:pPr>
              <w:jc w:val="center"/>
              <w:rPr>
                <w:sz w:val="20"/>
              </w:rPr>
            </w:pPr>
            <w:r>
              <w:rPr>
                <w:sz w:val="20"/>
              </w:rPr>
              <w:t>aktivator LCAT</w:t>
            </w:r>
          </w:p>
        </w:tc>
      </w:tr>
      <w:tr w:rsidR="003D6523">
        <w:trPr>
          <w:cantSplit/>
          <w:jc w:val="center"/>
        </w:trPr>
        <w:tc>
          <w:tcPr>
            <w:tcW w:w="1548"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jc w:val="center"/>
              <w:rPr>
                <w:b/>
                <w:sz w:val="20"/>
              </w:rPr>
            </w:pPr>
            <w:r>
              <w:rPr>
                <w:b/>
                <w:sz w:val="20"/>
              </w:rPr>
              <w:t>Apo A</w:t>
            </w:r>
            <w:r>
              <w:rPr>
                <w:b/>
                <w:sz w:val="20"/>
                <w:vertAlign w:val="subscript"/>
              </w:rPr>
              <w:t>II</w:t>
            </w:r>
          </w:p>
        </w:tc>
        <w:tc>
          <w:tcPr>
            <w:tcW w:w="3096" w:type="dxa"/>
            <w:vMerge/>
            <w:tcBorders>
              <w:top w:val="single" w:sz="4" w:space="0" w:color="auto"/>
              <w:left w:val="double" w:sz="4" w:space="0" w:color="auto"/>
              <w:bottom w:val="single" w:sz="4" w:space="0" w:color="auto"/>
              <w:right w:val="single" w:sz="4" w:space="0" w:color="auto"/>
            </w:tcBorders>
            <w:vAlign w:val="center"/>
          </w:tcPr>
          <w:p w:rsidR="003D6523" w:rsidRDefault="003D6523">
            <w:pPr>
              <w:jc w:val="center"/>
              <w:rPr>
                <w:sz w:val="20"/>
              </w:rPr>
            </w:pPr>
          </w:p>
        </w:tc>
        <w:tc>
          <w:tcPr>
            <w:tcW w:w="1980" w:type="dxa"/>
            <w:vMerge/>
            <w:tcBorders>
              <w:left w:val="single" w:sz="4" w:space="0" w:color="auto"/>
              <w:right w:val="single" w:sz="4" w:space="0" w:color="auto"/>
            </w:tcBorders>
            <w:vAlign w:val="center"/>
          </w:tcPr>
          <w:p w:rsidR="003D6523" w:rsidRDefault="003D6523">
            <w:pPr>
              <w:jc w:val="center"/>
              <w:rPr>
                <w:sz w:val="20"/>
              </w:rPr>
            </w:pPr>
          </w:p>
        </w:tc>
        <w:tc>
          <w:tcPr>
            <w:tcW w:w="2376" w:type="dxa"/>
            <w:vMerge w:val="restart"/>
            <w:tcBorders>
              <w:top w:val="single" w:sz="4" w:space="0" w:color="auto"/>
              <w:left w:val="single" w:sz="4" w:space="0" w:color="auto"/>
              <w:bottom w:val="single" w:sz="4" w:space="0" w:color="auto"/>
              <w:right w:val="single" w:sz="4" w:space="0" w:color="auto"/>
            </w:tcBorders>
            <w:vAlign w:val="center"/>
          </w:tcPr>
          <w:p w:rsidR="003D6523" w:rsidRDefault="003D6523">
            <w:pPr>
              <w:jc w:val="center"/>
              <w:rPr>
                <w:sz w:val="20"/>
              </w:rPr>
            </w:pPr>
            <w:r>
              <w:rPr>
                <w:sz w:val="20"/>
              </w:rPr>
              <w:t>neznana</w:t>
            </w:r>
          </w:p>
        </w:tc>
      </w:tr>
      <w:tr w:rsidR="003D6523">
        <w:trPr>
          <w:cantSplit/>
          <w:jc w:val="center"/>
        </w:trPr>
        <w:tc>
          <w:tcPr>
            <w:tcW w:w="1548"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jc w:val="center"/>
              <w:rPr>
                <w:b/>
                <w:sz w:val="20"/>
              </w:rPr>
            </w:pPr>
            <w:r>
              <w:rPr>
                <w:b/>
                <w:sz w:val="20"/>
              </w:rPr>
              <w:t>Apo A</w:t>
            </w:r>
            <w:r>
              <w:rPr>
                <w:b/>
                <w:sz w:val="20"/>
                <w:vertAlign w:val="subscript"/>
              </w:rPr>
              <w:t>IV</w:t>
            </w:r>
          </w:p>
        </w:tc>
        <w:tc>
          <w:tcPr>
            <w:tcW w:w="3096" w:type="dxa"/>
            <w:tcBorders>
              <w:top w:val="single" w:sz="4" w:space="0" w:color="auto"/>
              <w:left w:val="double" w:sz="4" w:space="0" w:color="auto"/>
              <w:bottom w:val="single" w:sz="4" w:space="0" w:color="auto"/>
              <w:right w:val="single" w:sz="4" w:space="0" w:color="auto"/>
            </w:tcBorders>
            <w:vAlign w:val="center"/>
          </w:tcPr>
          <w:p w:rsidR="003D6523" w:rsidRDefault="003D6523">
            <w:pPr>
              <w:jc w:val="center"/>
              <w:rPr>
                <w:sz w:val="20"/>
              </w:rPr>
            </w:pPr>
            <w:r>
              <w:rPr>
                <w:sz w:val="20"/>
              </w:rPr>
              <w:t>tanko črevo</w:t>
            </w:r>
          </w:p>
        </w:tc>
        <w:tc>
          <w:tcPr>
            <w:tcW w:w="1980" w:type="dxa"/>
            <w:vMerge/>
            <w:tcBorders>
              <w:left w:val="single" w:sz="4" w:space="0" w:color="auto"/>
              <w:bottom w:val="single" w:sz="4" w:space="0" w:color="auto"/>
              <w:right w:val="single" w:sz="4" w:space="0" w:color="auto"/>
            </w:tcBorders>
            <w:vAlign w:val="center"/>
          </w:tcPr>
          <w:p w:rsidR="003D6523" w:rsidRDefault="003D6523">
            <w:pPr>
              <w:jc w:val="center"/>
              <w:rPr>
                <w:sz w:val="20"/>
              </w:rPr>
            </w:pPr>
          </w:p>
        </w:tc>
        <w:tc>
          <w:tcPr>
            <w:tcW w:w="2376" w:type="dxa"/>
            <w:vMerge/>
            <w:tcBorders>
              <w:top w:val="single" w:sz="4" w:space="0" w:color="auto"/>
              <w:left w:val="single" w:sz="4" w:space="0" w:color="auto"/>
              <w:bottom w:val="single" w:sz="4" w:space="0" w:color="auto"/>
              <w:right w:val="single" w:sz="4" w:space="0" w:color="auto"/>
            </w:tcBorders>
            <w:vAlign w:val="center"/>
          </w:tcPr>
          <w:p w:rsidR="003D6523" w:rsidRDefault="003D6523">
            <w:pPr>
              <w:jc w:val="center"/>
              <w:rPr>
                <w:sz w:val="20"/>
              </w:rPr>
            </w:pPr>
          </w:p>
        </w:tc>
      </w:tr>
      <w:tr w:rsidR="003D6523">
        <w:trPr>
          <w:cantSplit/>
          <w:jc w:val="center"/>
        </w:trPr>
        <w:tc>
          <w:tcPr>
            <w:tcW w:w="1548"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jc w:val="center"/>
              <w:rPr>
                <w:b/>
                <w:sz w:val="20"/>
              </w:rPr>
            </w:pPr>
            <w:r>
              <w:rPr>
                <w:b/>
                <w:sz w:val="20"/>
              </w:rPr>
              <w:t xml:space="preserve">Apo B48 </w:t>
            </w:r>
          </w:p>
        </w:tc>
        <w:tc>
          <w:tcPr>
            <w:tcW w:w="3096" w:type="dxa"/>
            <w:tcBorders>
              <w:top w:val="single" w:sz="4" w:space="0" w:color="auto"/>
              <w:left w:val="double" w:sz="4" w:space="0" w:color="auto"/>
              <w:bottom w:val="single" w:sz="4" w:space="0" w:color="auto"/>
              <w:right w:val="single" w:sz="4" w:space="0" w:color="auto"/>
            </w:tcBorders>
            <w:vAlign w:val="center"/>
          </w:tcPr>
          <w:p w:rsidR="003D6523" w:rsidRDefault="003D6523">
            <w:pPr>
              <w:jc w:val="center"/>
              <w:rPr>
                <w:sz w:val="20"/>
              </w:rPr>
            </w:pPr>
            <w:r>
              <w:rPr>
                <w:sz w:val="20"/>
              </w:rPr>
              <w:t>tanko črevo</w:t>
            </w:r>
          </w:p>
        </w:tc>
        <w:tc>
          <w:tcPr>
            <w:tcW w:w="1980" w:type="dxa"/>
            <w:tcBorders>
              <w:top w:val="single" w:sz="4" w:space="0" w:color="auto"/>
              <w:left w:val="single" w:sz="4" w:space="0" w:color="auto"/>
              <w:bottom w:val="single" w:sz="4" w:space="0" w:color="auto"/>
              <w:right w:val="single" w:sz="4" w:space="0" w:color="auto"/>
            </w:tcBorders>
            <w:vAlign w:val="center"/>
          </w:tcPr>
          <w:p w:rsidR="003D6523" w:rsidRDefault="003D6523">
            <w:pPr>
              <w:jc w:val="center"/>
              <w:rPr>
                <w:sz w:val="20"/>
              </w:rPr>
            </w:pPr>
            <w:r>
              <w:rPr>
                <w:sz w:val="20"/>
              </w:rPr>
              <w:t>hilomikroni</w:t>
            </w:r>
          </w:p>
        </w:tc>
        <w:tc>
          <w:tcPr>
            <w:tcW w:w="2376" w:type="dxa"/>
            <w:tcBorders>
              <w:top w:val="single" w:sz="4" w:space="0" w:color="auto"/>
              <w:left w:val="single" w:sz="4" w:space="0" w:color="auto"/>
              <w:bottom w:val="single" w:sz="4" w:space="0" w:color="auto"/>
              <w:right w:val="single" w:sz="4" w:space="0" w:color="auto"/>
            </w:tcBorders>
            <w:vAlign w:val="center"/>
          </w:tcPr>
          <w:p w:rsidR="003D6523" w:rsidRDefault="003D6523">
            <w:pPr>
              <w:jc w:val="center"/>
              <w:rPr>
                <w:sz w:val="20"/>
              </w:rPr>
            </w:pPr>
            <w:r>
              <w:rPr>
                <w:sz w:val="20"/>
              </w:rPr>
              <w:t>sproščanje hilomikronov iz intestinlnih celic</w:t>
            </w:r>
          </w:p>
        </w:tc>
      </w:tr>
      <w:tr w:rsidR="003D6523">
        <w:trPr>
          <w:cantSplit/>
          <w:jc w:val="center"/>
        </w:trPr>
        <w:tc>
          <w:tcPr>
            <w:tcW w:w="1548"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jc w:val="center"/>
              <w:rPr>
                <w:b/>
                <w:sz w:val="20"/>
              </w:rPr>
            </w:pPr>
            <w:r>
              <w:rPr>
                <w:b/>
                <w:sz w:val="20"/>
              </w:rPr>
              <w:t xml:space="preserve">Apo B100 </w:t>
            </w:r>
          </w:p>
        </w:tc>
        <w:tc>
          <w:tcPr>
            <w:tcW w:w="3096" w:type="dxa"/>
            <w:tcBorders>
              <w:top w:val="single" w:sz="4" w:space="0" w:color="auto"/>
              <w:left w:val="double" w:sz="4" w:space="0" w:color="auto"/>
              <w:bottom w:val="single" w:sz="4" w:space="0" w:color="auto"/>
              <w:right w:val="single" w:sz="4" w:space="0" w:color="auto"/>
            </w:tcBorders>
            <w:vAlign w:val="center"/>
          </w:tcPr>
          <w:p w:rsidR="003D6523" w:rsidRDefault="003D6523">
            <w:pPr>
              <w:jc w:val="center"/>
              <w:rPr>
                <w:sz w:val="20"/>
              </w:rPr>
            </w:pPr>
            <w:r>
              <w:rPr>
                <w:sz w:val="20"/>
              </w:rPr>
              <w:t>jetra</w:t>
            </w:r>
          </w:p>
        </w:tc>
        <w:tc>
          <w:tcPr>
            <w:tcW w:w="1980" w:type="dxa"/>
            <w:tcBorders>
              <w:top w:val="single" w:sz="4" w:space="0" w:color="auto"/>
              <w:left w:val="single" w:sz="4" w:space="0" w:color="auto"/>
              <w:bottom w:val="single" w:sz="4" w:space="0" w:color="auto"/>
              <w:right w:val="single" w:sz="4" w:space="0" w:color="auto"/>
            </w:tcBorders>
            <w:vAlign w:val="center"/>
          </w:tcPr>
          <w:p w:rsidR="003D6523" w:rsidRDefault="003D6523">
            <w:pPr>
              <w:jc w:val="center"/>
              <w:rPr>
                <w:sz w:val="20"/>
              </w:rPr>
            </w:pPr>
            <w:r>
              <w:rPr>
                <w:sz w:val="20"/>
              </w:rPr>
              <w:t>VLDL, IDL, LDL</w:t>
            </w:r>
          </w:p>
        </w:tc>
        <w:tc>
          <w:tcPr>
            <w:tcW w:w="2376" w:type="dxa"/>
            <w:tcBorders>
              <w:top w:val="single" w:sz="4" w:space="0" w:color="auto"/>
              <w:left w:val="single" w:sz="4" w:space="0" w:color="auto"/>
              <w:bottom w:val="single" w:sz="4" w:space="0" w:color="auto"/>
              <w:right w:val="single" w:sz="4" w:space="0" w:color="auto"/>
            </w:tcBorders>
            <w:vAlign w:val="center"/>
          </w:tcPr>
          <w:p w:rsidR="003D6523" w:rsidRDefault="003D6523">
            <w:pPr>
              <w:jc w:val="center"/>
              <w:rPr>
                <w:sz w:val="20"/>
              </w:rPr>
            </w:pPr>
            <w:r>
              <w:rPr>
                <w:sz w:val="20"/>
              </w:rPr>
              <w:t>ligand za LDL receptor</w:t>
            </w:r>
          </w:p>
        </w:tc>
      </w:tr>
      <w:tr w:rsidR="003D6523">
        <w:trPr>
          <w:cantSplit/>
          <w:jc w:val="center"/>
        </w:trPr>
        <w:tc>
          <w:tcPr>
            <w:tcW w:w="1548"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jc w:val="center"/>
              <w:rPr>
                <w:b/>
                <w:sz w:val="20"/>
              </w:rPr>
            </w:pPr>
            <w:r>
              <w:rPr>
                <w:b/>
                <w:sz w:val="20"/>
              </w:rPr>
              <w:t>Apo C</w:t>
            </w:r>
            <w:r>
              <w:rPr>
                <w:b/>
                <w:sz w:val="20"/>
                <w:vertAlign w:val="subscript"/>
              </w:rPr>
              <w:t>I</w:t>
            </w:r>
          </w:p>
        </w:tc>
        <w:tc>
          <w:tcPr>
            <w:tcW w:w="3096" w:type="dxa"/>
            <w:vMerge w:val="restart"/>
            <w:tcBorders>
              <w:top w:val="single" w:sz="4" w:space="0" w:color="auto"/>
              <w:left w:val="double" w:sz="4" w:space="0" w:color="auto"/>
              <w:right w:val="single" w:sz="4" w:space="0" w:color="auto"/>
            </w:tcBorders>
            <w:vAlign w:val="center"/>
          </w:tcPr>
          <w:p w:rsidR="003D6523" w:rsidRDefault="003D6523">
            <w:pPr>
              <w:jc w:val="center"/>
              <w:rPr>
                <w:sz w:val="20"/>
              </w:rPr>
            </w:pPr>
            <w:r>
              <w:rPr>
                <w:sz w:val="20"/>
              </w:rPr>
              <w:t>jetra</w:t>
            </w:r>
          </w:p>
        </w:tc>
        <w:tc>
          <w:tcPr>
            <w:tcW w:w="1980" w:type="dxa"/>
            <w:vMerge w:val="restart"/>
            <w:tcBorders>
              <w:top w:val="single" w:sz="4" w:space="0" w:color="auto"/>
              <w:left w:val="single" w:sz="4" w:space="0" w:color="auto"/>
              <w:right w:val="single" w:sz="4" w:space="0" w:color="auto"/>
            </w:tcBorders>
            <w:vAlign w:val="center"/>
          </w:tcPr>
          <w:p w:rsidR="003D6523" w:rsidRDefault="003D6523">
            <w:pPr>
              <w:jc w:val="center"/>
              <w:rPr>
                <w:sz w:val="20"/>
              </w:rPr>
            </w:pPr>
            <w:r>
              <w:rPr>
                <w:sz w:val="20"/>
              </w:rPr>
              <w:t>hilomikroni, VLDL, IDL, HDL</w:t>
            </w:r>
          </w:p>
        </w:tc>
        <w:tc>
          <w:tcPr>
            <w:tcW w:w="2376" w:type="dxa"/>
            <w:tcBorders>
              <w:top w:val="single" w:sz="4" w:space="0" w:color="auto"/>
              <w:left w:val="single" w:sz="4" w:space="0" w:color="auto"/>
              <w:bottom w:val="single" w:sz="4" w:space="0" w:color="auto"/>
              <w:right w:val="single" w:sz="4" w:space="0" w:color="auto"/>
            </w:tcBorders>
            <w:vAlign w:val="center"/>
          </w:tcPr>
          <w:p w:rsidR="003D6523" w:rsidRDefault="003D6523">
            <w:pPr>
              <w:jc w:val="center"/>
              <w:rPr>
                <w:sz w:val="20"/>
              </w:rPr>
            </w:pPr>
            <w:r>
              <w:rPr>
                <w:sz w:val="20"/>
              </w:rPr>
              <w:t>aktivator LCAT</w:t>
            </w:r>
          </w:p>
        </w:tc>
      </w:tr>
      <w:tr w:rsidR="003D6523">
        <w:trPr>
          <w:cantSplit/>
          <w:jc w:val="center"/>
        </w:trPr>
        <w:tc>
          <w:tcPr>
            <w:tcW w:w="1548"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jc w:val="center"/>
              <w:rPr>
                <w:b/>
                <w:sz w:val="20"/>
              </w:rPr>
            </w:pPr>
            <w:r>
              <w:rPr>
                <w:b/>
                <w:sz w:val="20"/>
              </w:rPr>
              <w:t>Apo C</w:t>
            </w:r>
            <w:r>
              <w:rPr>
                <w:b/>
                <w:sz w:val="20"/>
                <w:vertAlign w:val="subscript"/>
              </w:rPr>
              <w:t>II</w:t>
            </w:r>
          </w:p>
        </w:tc>
        <w:tc>
          <w:tcPr>
            <w:tcW w:w="3096" w:type="dxa"/>
            <w:vMerge/>
            <w:tcBorders>
              <w:left w:val="double" w:sz="4" w:space="0" w:color="auto"/>
              <w:right w:val="single" w:sz="4" w:space="0" w:color="auto"/>
            </w:tcBorders>
            <w:vAlign w:val="center"/>
          </w:tcPr>
          <w:p w:rsidR="003D6523" w:rsidRDefault="003D6523">
            <w:pPr>
              <w:jc w:val="center"/>
              <w:rPr>
                <w:sz w:val="20"/>
              </w:rPr>
            </w:pPr>
          </w:p>
        </w:tc>
        <w:tc>
          <w:tcPr>
            <w:tcW w:w="1980" w:type="dxa"/>
            <w:vMerge/>
            <w:tcBorders>
              <w:left w:val="single" w:sz="4" w:space="0" w:color="auto"/>
              <w:right w:val="single" w:sz="4" w:space="0" w:color="auto"/>
            </w:tcBorders>
            <w:vAlign w:val="center"/>
          </w:tcPr>
          <w:p w:rsidR="003D6523" w:rsidRDefault="003D6523">
            <w:pPr>
              <w:jc w:val="center"/>
              <w:rPr>
                <w:sz w:val="20"/>
              </w:rPr>
            </w:pPr>
          </w:p>
        </w:tc>
        <w:tc>
          <w:tcPr>
            <w:tcW w:w="2376" w:type="dxa"/>
            <w:tcBorders>
              <w:top w:val="single" w:sz="4" w:space="0" w:color="auto"/>
              <w:left w:val="single" w:sz="4" w:space="0" w:color="auto"/>
              <w:bottom w:val="single" w:sz="4" w:space="0" w:color="auto"/>
              <w:right w:val="single" w:sz="4" w:space="0" w:color="auto"/>
            </w:tcBorders>
            <w:vAlign w:val="center"/>
          </w:tcPr>
          <w:p w:rsidR="003D6523" w:rsidRDefault="003D6523">
            <w:pPr>
              <w:jc w:val="center"/>
              <w:rPr>
                <w:sz w:val="20"/>
              </w:rPr>
            </w:pPr>
            <w:r>
              <w:rPr>
                <w:sz w:val="20"/>
              </w:rPr>
              <w:t>aktivator LPL</w:t>
            </w:r>
          </w:p>
        </w:tc>
      </w:tr>
      <w:tr w:rsidR="003D6523">
        <w:trPr>
          <w:cantSplit/>
          <w:jc w:val="center"/>
        </w:trPr>
        <w:tc>
          <w:tcPr>
            <w:tcW w:w="1548"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jc w:val="center"/>
              <w:rPr>
                <w:b/>
                <w:sz w:val="20"/>
              </w:rPr>
            </w:pPr>
            <w:r>
              <w:rPr>
                <w:b/>
                <w:sz w:val="20"/>
              </w:rPr>
              <w:t>Apo C</w:t>
            </w:r>
            <w:r>
              <w:rPr>
                <w:b/>
                <w:sz w:val="20"/>
                <w:vertAlign w:val="subscript"/>
              </w:rPr>
              <w:t>III</w:t>
            </w:r>
          </w:p>
        </w:tc>
        <w:tc>
          <w:tcPr>
            <w:tcW w:w="3096" w:type="dxa"/>
            <w:vMerge/>
            <w:tcBorders>
              <w:left w:val="double" w:sz="4" w:space="0" w:color="auto"/>
              <w:bottom w:val="single" w:sz="4" w:space="0" w:color="auto"/>
              <w:right w:val="single" w:sz="4" w:space="0" w:color="auto"/>
            </w:tcBorders>
            <w:vAlign w:val="center"/>
          </w:tcPr>
          <w:p w:rsidR="003D6523" w:rsidRDefault="003D6523">
            <w:pPr>
              <w:jc w:val="center"/>
              <w:rPr>
                <w:sz w:val="20"/>
              </w:rPr>
            </w:pPr>
          </w:p>
        </w:tc>
        <w:tc>
          <w:tcPr>
            <w:tcW w:w="1980" w:type="dxa"/>
            <w:vMerge/>
            <w:tcBorders>
              <w:left w:val="single" w:sz="4" w:space="0" w:color="auto"/>
              <w:bottom w:val="single" w:sz="4" w:space="0" w:color="auto"/>
              <w:right w:val="single" w:sz="4" w:space="0" w:color="auto"/>
            </w:tcBorders>
            <w:vAlign w:val="center"/>
          </w:tcPr>
          <w:p w:rsidR="003D6523" w:rsidRDefault="003D6523">
            <w:pPr>
              <w:jc w:val="center"/>
              <w:rPr>
                <w:sz w:val="20"/>
              </w:rPr>
            </w:pPr>
          </w:p>
        </w:tc>
        <w:tc>
          <w:tcPr>
            <w:tcW w:w="2376" w:type="dxa"/>
            <w:tcBorders>
              <w:top w:val="single" w:sz="4" w:space="0" w:color="auto"/>
              <w:left w:val="single" w:sz="4" w:space="0" w:color="auto"/>
              <w:bottom w:val="single" w:sz="4" w:space="0" w:color="auto"/>
              <w:right w:val="single" w:sz="4" w:space="0" w:color="auto"/>
            </w:tcBorders>
            <w:vAlign w:val="center"/>
          </w:tcPr>
          <w:p w:rsidR="003D6523" w:rsidRDefault="003D6523">
            <w:pPr>
              <w:jc w:val="center"/>
              <w:rPr>
                <w:sz w:val="20"/>
              </w:rPr>
            </w:pPr>
            <w:r>
              <w:rPr>
                <w:sz w:val="20"/>
              </w:rPr>
              <w:t>inhibitor LPL</w:t>
            </w:r>
          </w:p>
        </w:tc>
      </w:tr>
      <w:tr w:rsidR="003D6523">
        <w:trPr>
          <w:cantSplit/>
          <w:jc w:val="center"/>
        </w:trPr>
        <w:tc>
          <w:tcPr>
            <w:tcW w:w="1548"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jc w:val="center"/>
              <w:rPr>
                <w:b/>
                <w:sz w:val="20"/>
              </w:rPr>
            </w:pPr>
            <w:r>
              <w:rPr>
                <w:b/>
                <w:sz w:val="20"/>
              </w:rPr>
              <w:t>Apo D</w:t>
            </w:r>
          </w:p>
        </w:tc>
        <w:tc>
          <w:tcPr>
            <w:tcW w:w="3096" w:type="dxa"/>
            <w:tcBorders>
              <w:top w:val="single" w:sz="4" w:space="0" w:color="auto"/>
              <w:left w:val="double" w:sz="4" w:space="0" w:color="auto"/>
              <w:bottom w:val="single" w:sz="4" w:space="0" w:color="auto"/>
              <w:right w:val="single" w:sz="4" w:space="0" w:color="auto"/>
            </w:tcBorders>
            <w:vAlign w:val="center"/>
          </w:tcPr>
          <w:p w:rsidR="003D6523" w:rsidRDefault="003D6523">
            <w:pPr>
              <w:jc w:val="center"/>
              <w:rPr>
                <w:sz w:val="20"/>
              </w:rPr>
            </w:pPr>
            <w:r>
              <w:rPr>
                <w:sz w:val="20"/>
              </w:rPr>
              <w:t>jetra</w:t>
            </w:r>
          </w:p>
        </w:tc>
        <w:tc>
          <w:tcPr>
            <w:tcW w:w="1980" w:type="dxa"/>
            <w:tcBorders>
              <w:top w:val="single" w:sz="4" w:space="0" w:color="auto"/>
              <w:left w:val="single" w:sz="4" w:space="0" w:color="auto"/>
              <w:bottom w:val="single" w:sz="4" w:space="0" w:color="auto"/>
              <w:right w:val="single" w:sz="4" w:space="0" w:color="auto"/>
            </w:tcBorders>
            <w:vAlign w:val="center"/>
          </w:tcPr>
          <w:p w:rsidR="003D6523" w:rsidRDefault="003D6523">
            <w:pPr>
              <w:jc w:val="center"/>
              <w:rPr>
                <w:sz w:val="20"/>
              </w:rPr>
            </w:pPr>
            <w:r>
              <w:rPr>
                <w:sz w:val="20"/>
              </w:rPr>
              <w:t>VLDL, HDL</w:t>
            </w:r>
          </w:p>
        </w:tc>
        <w:tc>
          <w:tcPr>
            <w:tcW w:w="2376" w:type="dxa"/>
            <w:tcBorders>
              <w:top w:val="single" w:sz="4" w:space="0" w:color="auto"/>
              <w:left w:val="single" w:sz="4" w:space="0" w:color="auto"/>
              <w:bottom w:val="single" w:sz="4" w:space="0" w:color="auto"/>
              <w:right w:val="single" w:sz="4" w:space="0" w:color="auto"/>
            </w:tcBorders>
            <w:vAlign w:val="center"/>
          </w:tcPr>
          <w:p w:rsidR="003D6523" w:rsidRDefault="003D6523">
            <w:pPr>
              <w:jc w:val="center"/>
              <w:rPr>
                <w:sz w:val="20"/>
              </w:rPr>
            </w:pPr>
            <w:r>
              <w:rPr>
                <w:sz w:val="20"/>
              </w:rPr>
              <w:t>neznana</w:t>
            </w:r>
          </w:p>
        </w:tc>
      </w:tr>
      <w:tr w:rsidR="003D6523">
        <w:trPr>
          <w:cantSplit/>
          <w:jc w:val="center"/>
        </w:trPr>
        <w:tc>
          <w:tcPr>
            <w:tcW w:w="1548" w:type="dxa"/>
            <w:tcBorders>
              <w:top w:val="single" w:sz="4" w:space="0" w:color="auto"/>
              <w:left w:val="single" w:sz="4" w:space="0" w:color="auto"/>
              <w:bottom w:val="single" w:sz="4" w:space="0" w:color="auto"/>
              <w:right w:val="double" w:sz="4" w:space="0" w:color="auto"/>
            </w:tcBorders>
            <w:shd w:val="clear" w:color="auto" w:fill="E0E0E0"/>
            <w:vAlign w:val="center"/>
          </w:tcPr>
          <w:p w:rsidR="003D6523" w:rsidRDefault="003D6523">
            <w:pPr>
              <w:jc w:val="center"/>
              <w:rPr>
                <w:b/>
                <w:sz w:val="20"/>
              </w:rPr>
            </w:pPr>
            <w:r>
              <w:rPr>
                <w:b/>
                <w:sz w:val="20"/>
              </w:rPr>
              <w:t>Apo E</w:t>
            </w:r>
          </w:p>
        </w:tc>
        <w:tc>
          <w:tcPr>
            <w:tcW w:w="3096" w:type="dxa"/>
            <w:tcBorders>
              <w:top w:val="single" w:sz="4" w:space="0" w:color="auto"/>
              <w:left w:val="double" w:sz="4" w:space="0" w:color="auto"/>
              <w:bottom w:val="single" w:sz="4" w:space="0" w:color="auto"/>
              <w:right w:val="single" w:sz="4" w:space="0" w:color="auto"/>
            </w:tcBorders>
            <w:vAlign w:val="center"/>
          </w:tcPr>
          <w:p w:rsidR="003D6523" w:rsidRDefault="003D6523">
            <w:pPr>
              <w:jc w:val="center"/>
              <w:rPr>
                <w:sz w:val="20"/>
              </w:rPr>
            </w:pPr>
            <w:r>
              <w:rPr>
                <w:sz w:val="20"/>
              </w:rPr>
              <w:t>jetra; tudi nevroni, makrofagi, celice glije</w:t>
            </w:r>
          </w:p>
        </w:tc>
        <w:tc>
          <w:tcPr>
            <w:tcW w:w="1980" w:type="dxa"/>
            <w:tcBorders>
              <w:top w:val="single" w:sz="4" w:space="0" w:color="auto"/>
              <w:left w:val="single" w:sz="4" w:space="0" w:color="auto"/>
              <w:bottom w:val="single" w:sz="4" w:space="0" w:color="auto"/>
              <w:right w:val="single" w:sz="4" w:space="0" w:color="auto"/>
            </w:tcBorders>
            <w:vAlign w:val="center"/>
          </w:tcPr>
          <w:p w:rsidR="003D6523" w:rsidRDefault="003D6523">
            <w:pPr>
              <w:jc w:val="center"/>
              <w:rPr>
                <w:sz w:val="20"/>
              </w:rPr>
            </w:pPr>
            <w:r>
              <w:rPr>
                <w:sz w:val="20"/>
              </w:rPr>
              <w:t>hilomikroni, VLDL, IDL, HDL</w:t>
            </w:r>
          </w:p>
        </w:tc>
        <w:tc>
          <w:tcPr>
            <w:tcW w:w="2376" w:type="dxa"/>
            <w:tcBorders>
              <w:top w:val="single" w:sz="4" w:space="0" w:color="auto"/>
              <w:left w:val="single" w:sz="4" w:space="0" w:color="auto"/>
              <w:bottom w:val="single" w:sz="4" w:space="0" w:color="auto"/>
              <w:right w:val="single" w:sz="4" w:space="0" w:color="auto"/>
            </w:tcBorders>
            <w:vAlign w:val="center"/>
          </w:tcPr>
          <w:p w:rsidR="003D6523" w:rsidRDefault="003D6523">
            <w:pPr>
              <w:jc w:val="center"/>
              <w:rPr>
                <w:sz w:val="20"/>
              </w:rPr>
            </w:pPr>
            <w:r>
              <w:rPr>
                <w:sz w:val="20"/>
              </w:rPr>
              <w:t>privzem LP v jetra</w:t>
            </w:r>
          </w:p>
        </w:tc>
      </w:tr>
    </w:tbl>
    <w:p w:rsidR="003D6523" w:rsidRDefault="003D6523">
      <w:pPr>
        <w:tabs>
          <w:tab w:val="left" w:pos="7060"/>
        </w:tabs>
        <w:jc w:val="both"/>
        <w:rPr>
          <w:sz w:val="20"/>
        </w:rPr>
      </w:pPr>
      <w:r>
        <w:rPr>
          <w:sz w:val="20"/>
        </w:rPr>
        <w:t xml:space="preserve">Tabela 3: Apolipoproteini. LCAT = lecitin-holesterol-acetiltransferaza, LPL  = lipoproteinska lipaza, </w:t>
      </w:r>
    </w:p>
    <w:p w:rsidR="003D6523" w:rsidRDefault="00285A2D">
      <w:pPr>
        <w:tabs>
          <w:tab w:val="left" w:pos="7060"/>
        </w:tabs>
        <w:jc w:val="both"/>
        <w:rPr>
          <w:sz w:val="20"/>
        </w:rPr>
      </w:pPr>
      <w:r>
        <w:rPr>
          <w:noProof/>
        </w:rPr>
        <w:pict>
          <v:shape id="_x0000_s1030" type="#_x0000_t75" style="position:absolute;left:0;text-align:left;margin-left:235.3pt;margin-top:6.5pt;width:242.45pt;height:468.3pt;z-index:-251654656">
            <v:imagedata r:id="rId11" o:title="velika%20slika"/>
          </v:shape>
        </w:pict>
      </w:r>
      <w:r w:rsidR="003D6523">
        <w:rPr>
          <w:sz w:val="20"/>
        </w:rPr>
        <w:t>LP = lipoproteini</w:t>
      </w:r>
    </w:p>
    <w:p w:rsidR="003D6523" w:rsidRDefault="003D6523"/>
    <w:p w:rsidR="003D6523" w:rsidRDefault="003D6523">
      <w:pPr>
        <w:sectPr w:rsidR="003D6523" w:rsidSect="00021997">
          <w:headerReference w:type="even" r:id="rId12"/>
          <w:headerReference w:type="default" r:id="rId13"/>
          <w:footerReference w:type="even" r:id="rId14"/>
          <w:footerReference w:type="default" r:id="rId15"/>
          <w:pgSz w:w="11906" w:h="16838"/>
          <w:pgMar w:top="1417" w:right="1417" w:bottom="1417" w:left="1417" w:header="708" w:footer="708" w:gutter="0"/>
          <w:cols w:space="708"/>
          <w:titlePg/>
          <w:docGrid w:linePitch="360"/>
        </w:sectPr>
      </w:pPr>
    </w:p>
    <w:p w:rsidR="003D6523" w:rsidRDefault="003D6523">
      <w:pPr>
        <w:jc w:val="both"/>
        <w:rPr>
          <w:b/>
        </w:rPr>
      </w:pPr>
    </w:p>
    <w:p w:rsidR="003D6523" w:rsidRPr="00AB776D" w:rsidRDefault="003D6523">
      <w:pPr>
        <w:jc w:val="both"/>
        <w:rPr>
          <w:rFonts w:ascii="Arial Black" w:hAnsi="Arial Black"/>
          <w:b/>
          <w:color w:val="800080"/>
          <w:sz w:val="20"/>
        </w:rPr>
      </w:pPr>
      <w:r w:rsidRPr="00AB776D">
        <w:rPr>
          <w:rFonts w:ascii="Arial Black" w:hAnsi="Arial Black"/>
          <w:b/>
          <w:color w:val="800080"/>
          <w:sz w:val="20"/>
        </w:rPr>
        <w:t xml:space="preserve">PREBAVA LIPIDOV </w:t>
      </w:r>
    </w:p>
    <w:p w:rsidR="003D6523" w:rsidRDefault="003D6523">
      <w:pPr>
        <w:jc w:val="both"/>
        <w:rPr>
          <w:sz w:val="20"/>
        </w:rPr>
      </w:pPr>
      <w:r>
        <w:rPr>
          <w:sz w:val="20"/>
        </w:rPr>
        <w:t>Po zaužitju maščob sledi mehanska obdelava v ustni votlini in želodcu, pri čemer ostanejo lipidi kemično nespremenjeni. V alkalnem dvanajstniku nastanejo zaradi delovanja žolčnih kislin 5 nm velike emulgirane maščobne kapljice. Emulzifikacija lipidov omogoča delovanje pankreasne lipaze-poteka lipoliza (TAG=2MK+MAG). Pri tem se tvorijo manjše kapljice, imenovane mešane micele (MK, monoacilgliceroli, fosfolipidi, soli žolčnih kislin in holesterol), ki so rezervoar netopnih produktov presnove maščob. Ti vstopajo v enterocit, kjer v AER poteka ponovna sinteza TAG. V enterocitih poteka tudi sinteza fosfolipidov ter reesterifikacija holesterola. Tvorijo se hilomikroni, ki so zmožni zapustiti enterocit.</w:t>
      </w:r>
    </w:p>
    <w:p w:rsidR="003D6523" w:rsidRDefault="003D6523">
      <w:pPr>
        <w:jc w:val="both"/>
        <w:rPr>
          <w:sz w:val="20"/>
        </w:rPr>
      </w:pPr>
    </w:p>
    <w:p w:rsidR="003D6523" w:rsidRPr="00021997" w:rsidRDefault="003D6523">
      <w:pPr>
        <w:jc w:val="both"/>
        <w:rPr>
          <w:b/>
          <w:color w:val="800080"/>
          <w:sz w:val="20"/>
        </w:rPr>
      </w:pPr>
      <w:r w:rsidRPr="00021997">
        <w:rPr>
          <w:b/>
          <w:color w:val="800080"/>
          <w:sz w:val="20"/>
        </w:rPr>
        <w:t>TRANSPORT LIPOPROTEINOV PO TELESU</w:t>
      </w:r>
    </w:p>
    <w:p w:rsidR="003D6523" w:rsidRPr="00021997" w:rsidRDefault="003D6523">
      <w:pPr>
        <w:numPr>
          <w:ilvl w:val="0"/>
          <w:numId w:val="6"/>
        </w:numPr>
        <w:jc w:val="both"/>
        <w:rPr>
          <w:b/>
          <w:color w:val="800080"/>
          <w:sz w:val="20"/>
        </w:rPr>
      </w:pPr>
      <w:r w:rsidRPr="00021997">
        <w:rPr>
          <w:b/>
          <w:color w:val="800080"/>
          <w:sz w:val="20"/>
        </w:rPr>
        <w:t>EKSOGENA POT (slika A)</w:t>
      </w:r>
    </w:p>
    <w:p w:rsidR="003D6523" w:rsidRDefault="003D6523">
      <w:pPr>
        <w:jc w:val="both"/>
        <w:rPr>
          <w:sz w:val="20"/>
        </w:rPr>
      </w:pPr>
      <w:r>
        <w:rPr>
          <w:sz w:val="20"/>
        </w:rPr>
        <w:t>Hilomikroni, ki nastanejo pri prebavi lipidov, imajo na svoji površini fosfolipide, prosti holesterol, apoproteine B48, AI, AII, AIV, v notranjosti pa TAG (80-95%) in esterificirani holesterol. Izločijo se v limfo ter preko te v kri, kjer od HDL ppridobijo apoproteine CII in CIII. CII je potreben za hidrolizo TAG z lipoproteinsko lipazo (LPL). Ta se sintetizira v mišicah in maščevju, izloči v intersticij in se veže na endotelij kapilar. Hidrolizira TAG v hilomikronih in VLDL, pri tem nastanejo MK, ki se porabijo v mišicah in maščevju ali pa se skladiščijo. CII in CIII se vrneta v HDL. Pri tem nastanejo hilomikronski ostanki, ki se jim doda apoprotein E. Ta omogoči povezavo z jetrnimi LDL receptorji in s tem prenos holesterola v jetra.</w:t>
      </w:r>
    </w:p>
    <w:p w:rsidR="003D6523" w:rsidRDefault="003D6523">
      <w:pPr>
        <w:jc w:val="both"/>
      </w:pPr>
    </w:p>
    <w:p w:rsidR="003D6523" w:rsidRDefault="003D6523">
      <w:pPr>
        <w:jc w:val="both"/>
      </w:pPr>
    </w:p>
    <w:p w:rsidR="003D6523" w:rsidRDefault="003D6523">
      <w:pPr>
        <w:jc w:val="both"/>
        <w:sectPr w:rsidR="003D6523">
          <w:type w:val="continuous"/>
          <w:pgSz w:w="11906" w:h="16838"/>
          <w:pgMar w:top="1417" w:right="5966" w:bottom="1417" w:left="1417" w:header="708" w:footer="708" w:gutter="0"/>
          <w:cols w:space="708"/>
          <w:docGrid w:linePitch="360"/>
        </w:sectPr>
      </w:pPr>
    </w:p>
    <w:p w:rsidR="003D6523" w:rsidRPr="00021997" w:rsidRDefault="003D6523">
      <w:pPr>
        <w:numPr>
          <w:ilvl w:val="0"/>
          <w:numId w:val="7"/>
        </w:numPr>
        <w:jc w:val="both"/>
        <w:rPr>
          <w:b/>
          <w:color w:val="800080"/>
          <w:sz w:val="20"/>
        </w:rPr>
      </w:pPr>
      <w:r w:rsidRPr="00021997">
        <w:rPr>
          <w:b/>
          <w:color w:val="800080"/>
          <w:sz w:val="20"/>
        </w:rPr>
        <w:t>ENDOGENA POT</w:t>
      </w:r>
    </w:p>
    <w:p w:rsidR="003D6523" w:rsidRPr="00AB776D" w:rsidRDefault="003D6523">
      <w:pPr>
        <w:jc w:val="both"/>
        <w:rPr>
          <w:rFonts w:ascii="Times New Roman" w:hAnsi="Times New Roman"/>
          <w:sz w:val="24"/>
          <w:szCs w:val="24"/>
        </w:rPr>
      </w:pPr>
      <w:r w:rsidRPr="00AB776D">
        <w:rPr>
          <w:rFonts w:ascii="Times New Roman" w:hAnsi="Times New Roman"/>
          <w:sz w:val="24"/>
          <w:szCs w:val="24"/>
        </w:rPr>
        <w:t>Predstavlja prenos lipidov iz jeter do perifernih tkiv in obratno. Ločimo lipoproteinska sistema apo B100 in apo AI.</w:t>
      </w:r>
    </w:p>
    <w:p w:rsidR="003D6523" w:rsidRPr="00AB776D" w:rsidRDefault="003D6523">
      <w:pPr>
        <w:pStyle w:val="Heading1"/>
        <w:ind w:firstLine="708"/>
        <w:jc w:val="both"/>
        <w:rPr>
          <w:rFonts w:ascii="Times New Roman" w:hAnsi="Times New Roman"/>
          <w:i/>
          <w:iCs/>
          <w:sz w:val="24"/>
          <w:szCs w:val="24"/>
        </w:rPr>
      </w:pPr>
      <w:r w:rsidRPr="00AB776D">
        <w:rPr>
          <w:rFonts w:ascii="Times New Roman" w:hAnsi="Times New Roman"/>
          <w:sz w:val="24"/>
          <w:szCs w:val="24"/>
        </w:rPr>
        <w:t xml:space="preserve">-Apo B100 </w:t>
      </w:r>
      <w:r w:rsidRPr="00AB776D">
        <w:rPr>
          <w:rFonts w:ascii="Times New Roman" w:hAnsi="Times New Roman"/>
          <w:i/>
          <w:iCs/>
          <w:sz w:val="24"/>
          <w:szCs w:val="24"/>
        </w:rPr>
        <w:t>(aterogeni, slika B)</w:t>
      </w:r>
    </w:p>
    <w:p w:rsidR="003D6523" w:rsidRPr="00AB776D" w:rsidRDefault="003D6523">
      <w:pPr>
        <w:jc w:val="both"/>
        <w:rPr>
          <w:rFonts w:ascii="Times New Roman" w:hAnsi="Times New Roman"/>
          <w:sz w:val="24"/>
          <w:szCs w:val="24"/>
        </w:rPr>
      </w:pPr>
      <w:r w:rsidRPr="00AB776D">
        <w:rPr>
          <w:rFonts w:ascii="Times New Roman" w:hAnsi="Times New Roman"/>
          <w:sz w:val="24"/>
          <w:szCs w:val="24"/>
        </w:rPr>
        <w:t>Holesterol in v jetrih sintetizirani TAG se skupaj s plaščnimi apo B100 in FL povežejo v VLDL. Ti se izločijo v plazmo, kjer se jim dodajo apo CI, CII, CIII in E. Endotelijsko vezana LPL hidrolizira TAG, pri tem iz VLDL nastanejo VLDL ostanki (IDL). Večje IDL (vsebujejo več TAG) privzamejo jetra, manjši pa se pretvorijo v LDL, ki vsebujejo samo še apo B100. Večino LDL privzamejo jetra, ostanek pa prenaša holesterol predvsem v nadledvičnice ter gonade. LDL receptorje imajo skoraj vse celice telesa.</w:t>
      </w:r>
    </w:p>
    <w:p w:rsidR="003D6523" w:rsidRPr="00AB776D" w:rsidRDefault="003D6523">
      <w:pPr>
        <w:pStyle w:val="Heading1"/>
        <w:ind w:firstLine="708"/>
        <w:jc w:val="both"/>
        <w:rPr>
          <w:rFonts w:ascii="Times New Roman" w:hAnsi="Times New Roman"/>
          <w:i/>
          <w:sz w:val="24"/>
          <w:szCs w:val="24"/>
        </w:rPr>
      </w:pPr>
      <w:r w:rsidRPr="00AB776D">
        <w:rPr>
          <w:rFonts w:ascii="Times New Roman" w:hAnsi="Times New Roman"/>
          <w:iCs/>
          <w:sz w:val="24"/>
          <w:szCs w:val="24"/>
        </w:rPr>
        <w:t xml:space="preserve">-Apo AI </w:t>
      </w:r>
      <w:r w:rsidRPr="00AB776D">
        <w:rPr>
          <w:rFonts w:ascii="Times New Roman" w:hAnsi="Times New Roman"/>
          <w:i/>
          <w:sz w:val="24"/>
          <w:szCs w:val="24"/>
        </w:rPr>
        <w:t>(antiaterogeni, slika C)</w:t>
      </w:r>
    </w:p>
    <w:p w:rsidR="003D6523" w:rsidRPr="00AB776D" w:rsidRDefault="003D6523">
      <w:pPr>
        <w:jc w:val="both"/>
        <w:rPr>
          <w:rFonts w:ascii="Times New Roman" w:hAnsi="Times New Roman"/>
          <w:sz w:val="24"/>
          <w:szCs w:val="24"/>
        </w:rPr>
      </w:pPr>
      <w:r w:rsidRPr="00AB776D">
        <w:rPr>
          <w:rFonts w:ascii="Times New Roman" w:hAnsi="Times New Roman"/>
          <w:sz w:val="24"/>
          <w:szCs w:val="24"/>
        </w:rPr>
        <w:t>HDL se tvorijo v plazmi z zlitjem kompleksov, ki vsebujejo fosfolipide in apoproteine AI, AII, AIV. Doda se še apo C, ki pride iz lipoproteinov, bogatih s TAG. To so HDL</w:t>
      </w:r>
      <w:r w:rsidRPr="00AB776D">
        <w:rPr>
          <w:rFonts w:ascii="Times New Roman" w:hAnsi="Times New Roman"/>
          <w:sz w:val="24"/>
          <w:szCs w:val="24"/>
          <w:vertAlign w:val="subscript"/>
        </w:rPr>
        <w:t xml:space="preserve">3, </w:t>
      </w:r>
      <w:r w:rsidRPr="00AB776D">
        <w:rPr>
          <w:rFonts w:ascii="Times New Roman" w:hAnsi="Times New Roman"/>
          <w:sz w:val="24"/>
          <w:szCs w:val="24"/>
        </w:rPr>
        <w:t>ki vsebujejo malo holesterola  in se ob privzemu le-tega iz celičnih membran pretvorijo v HDL</w:t>
      </w:r>
      <w:r w:rsidRPr="00AB776D">
        <w:rPr>
          <w:rFonts w:ascii="Times New Roman" w:hAnsi="Times New Roman"/>
          <w:sz w:val="24"/>
          <w:szCs w:val="24"/>
          <w:vertAlign w:val="subscript"/>
        </w:rPr>
        <w:t>2</w:t>
      </w:r>
      <w:r w:rsidRPr="00AB776D">
        <w:rPr>
          <w:rFonts w:ascii="Times New Roman" w:hAnsi="Times New Roman"/>
          <w:sz w:val="24"/>
          <w:szCs w:val="24"/>
        </w:rPr>
        <w:t>. Pri tem se prosti holesterol esterificira z lecitin-holesterol aciltransferazo. HDL</w:t>
      </w:r>
      <w:r w:rsidRPr="00AB776D">
        <w:rPr>
          <w:rFonts w:ascii="Times New Roman" w:hAnsi="Times New Roman"/>
          <w:sz w:val="24"/>
          <w:szCs w:val="24"/>
          <w:vertAlign w:val="subscript"/>
        </w:rPr>
        <w:t xml:space="preserve">2 </w:t>
      </w:r>
      <w:r w:rsidRPr="00AB776D">
        <w:rPr>
          <w:rFonts w:ascii="Times New Roman" w:hAnsi="Times New Roman"/>
          <w:sz w:val="24"/>
          <w:szCs w:val="24"/>
        </w:rPr>
        <w:t>se lahko metabolizira po dveh poteh: 1. Holesterolni estri se lahko prenesejo na lipoproteine apo B (hilomikroni in VLDL). Pri tem pa HDL sprejmejo TAG in se pretvori v HDL</w:t>
      </w:r>
      <w:r w:rsidRPr="00AB776D">
        <w:rPr>
          <w:rFonts w:ascii="Times New Roman" w:hAnsi="Times New Roman"/>
          <w:sz w:val="24"/>
          <w:szCs w:val="24"/>
          <w:vertAlign w:val="subscript"/>
        </w:rPr>
        <w:t>3</w:t>
      </w:r>
      <w:r w:rsidRPr="00AB776D">
        <w:rPr>
          <w:rFonts w:ascii="Times New Roman" w:hAnsi="Times New Roman"/>
          <w:sz w:val="24"/>
          <w:szCs w:val="24"/>
        </w:rPr>
        <w:t>. Ko jetra odstranijo apo B lipoproteine, je zaključen reverzni transport holesterola. 2. Celoten HDL</w:t>
      </w:r>
      <w:r w:rsidRPr="00AB776D">
        <w:rPr>
          <w:rFonts w:ascii="Times New Roman" w:hAnsi="Times New Roman"/>
          <w:sz w:val="24"/>
          <w:szCs w:val="24"/>
          <w:vertAlign w:val="subscript"/>
        </w:rPr>
        <w:t xml:space="preserve">2 </w:t>
      </w:r>
      <w:r w:rsidRPr="00AB776D">
        <w:rPr>
          <w:rFonts w:ascii="Times New Roman" w:hAnsi="Times New Roman"/>
          <w:sz w:val="24"/>
          <w:szCs w:val="24"/>
        </w:rPr>
        <w:t>partikel odstranijo jetra.</w:t>
      </w:r>
    </w:p>
    <w:p w:rsidR="00AB776D" w:rsidRDefault="00AB776D">
      <w:pPr>
        <w:rPr>
          <w:b/>
        </w:rPr>
      </w:pPr>
    </w:p>
    <w:p w:rsidR="003D6523" w:rsidRPr="00AB776D" w:rsidRDefault="003D6523">
      <w:pPr>
        <w:rPr>
          <w:rFonts w:ascii="Arial Black" w:hAnsi="Arial Black"/>
          <w:b/>
          <w:color w:val="800080"/>
        </w:rPr>
      </w:pPr>
      <w:r w:rsidRPr="00AB776D">
        <w:rPr>
          <w:rFonts w:ascii="Arial Black" w:hAnsi="Arial Black"/>
          <w:b/>
          <w:color w:val="800080"/>
        </w:rPr>
        <w:t>MERJENJE LIPIDOV V PLAZMI</w:t>
      </w:r>
    </w:p>
    <w:p w:rsidR="003D6523" w:rsidRPr="00AB776D" w:rsidRDefault="003D6523">
      <w:pPr>
        <w:rPr>
          <w:rFonts w:ascii="Times New Roman" w:hAnsi="Times New Roman"/>
          <w:sz w:val="24"/>
          <w:szCs w:val="24"/>
        </w:rPr>
      </w:pPr>
      <w:r w:rsidRPr="00AB776D">
        <w:rPr>
          <w:rFonts w:ascii="Times New Roman" w:hAnsi="Times New Roman"/>
          <w:sz w:val="24"/>
          <w:szCs w:val="24"/>
        </w:rPr>
        <w:t>Zdravnik se bo za preiskavo odločil vedno kadar ima pacient kakršno koli obliko ateroskleroze(še posebej na koronarkah), če ima več dejavnikov tveganja za spremenjene frakcije posameznih lipoproteinov(debelost, diabetes, alkoholizem, hipotiroidizem, nefrotski sindrom, renalno insuficienco, uporaba steroidov,oralnih kontraceptivov, diuretikov, beta-blokatorjev). V Združenih Državah pa predlagajo preventivno preiskovanje kar za vse moške nad 35. ter ženske nad 45. letom.</w:t>
      </w:r>
    </w:p>
    <w:p w:rsidR="003D6523" w:rsidRPr="00AB776D" w:rsidRDefault="003D6523">
      <w:pPr>
        <w:rPr>
          <w:rFonts w:ascii="Times New Roman" w:hAnsi="Times New Roman"/>
          <w:sz w:val="24"/>
          <w:szCs w:val="24"/>
        </w:rPr>
      </w:pPr>
    </w:p>
    <w:p w:rsidR="003D6523" w:rsidRPr="00AB776D" w:rsidRDefault="003D6523">
      <w:pPr>
        <w:rPr>
          <w:rFonts w:ascii="Times New Roman" w:hAnsi="Times New Roman"/>
          <w:sz w:val="24"/>
          <w:szCs w:val="24"/>
        </w:rPr>
      </w:pPr>
      <w:r w:rsidRPr="00AB776D">
        <w:rPr>
          <w:rFonts w:ascii="Times New Roman" w:hAnsi="Times New Roman"/>
          <w:sz w:val="24"/>
          <w:szCs w:val="24"/>
        </w:rPr>
        <w:t xml:space="preserve">Neposredno merimo totalni holesterol, frakcijo HDL-holesterola in frakcijo TAG(vse v mg/dl ali mmol/l). Večina TAG je v VLDL, petino njihove vrednosti pa predstavlja holesterol v VLDL. Tako iz vseh teh vrednosti posameznih holesterolov izračunamo tudi vrednost LDL holesterola. Preiskava se obvezno opravi na tešče in vsaj 2x-3x, saj vrednosti nihajo. </w:t>
      </w:r>
    </w:p>
    <w:p w:rsidR="003D6523" w:rsidRPr="00AB776D" w:rsidRDefault="003D6523">
      <w:pPr>
        <w:rPr>
          <w:rFonts w:ascii="Times New Roman" w:hAnsi="Times New Roman"/>
          <w:sz w:val="24"/>
          <w:szCs w:val="24"/>
        </w:rPr>
      </w:pPr>
      <w:r w:rsidRPr="00AB776D">
        <w:rPr>
          <w:rFonts w:ascii="Times New Roman" w:hAnsi="Times New Roman"/>
          <w:b/>
          <w:sz w:val="24"/>
          <w:szCs w:val="24"/>
        </w:rPr>
        <w:t>Najpomembnejši sta vrednosti HDL in LDL.Konc. LDL</w:t>
      </w:r>
      <w:r w:rsidRPr="00AB776D">
        <w:rPr>
          <w:rFonts w:ascii="Times New Roman" w:hAnsi="Times New Roman"/>
          <w:sz w:val="24"/>
          <w:szCs w:val="24"/>
        </w:rPr>
        <w:t xml:space="preserve"> naj bi bila čim nižja, velja pa da se pri zdravih povišuje s starostjo. Povprečno se giblje </w:t>
      </w:r>
      <w:r w:rsidRPr="00AB776D">
        <w:rPr>
          <w:rFonts w:ascii="Times New Roman" w:hAnsi="Times New Roman"/>
          <w:b/>
          <w:sz w:val="24"/>
          <w:szCs w:val="24"/>
        </w:rPr>
        <w:t>med 170 in 230 mg/dl</w:t>
      </w:r>
      <w:r w:rsidRPr="00AB776D">
        <w:rPr>
          <w:rFonts w:ascii="Times New Roman" w:hAnsi="Times New Roman"/>
          <w:sz w:val="24"/>
          <w:szCs w:val="24"/>
        </w:rPr>
        <w:t xml:space="preserve"> (4,42-5,98 mmol/l). Povečane koncentracije imajo pri moških hujše posledice. </w:t>
      </w:r>
      <w:r w:rsidRPr="00AB776D">
        <w:rPr>
          <w:rFonts w:ascii="Times New Roman" w:hAnsi="Times New Roman"/>
          <w:b/>
          <w:sz w:val="24"/>
          <w:szCs w:val="24"/>
        </w:rPr>
        <w:t>Konc. HDL</w:t>
      </w:r>
      <w:r w:rsidRPr="00AB776D">
        <w:rPr>
          <w:rFonts w:ascii="Times New Roman" w:hAnsi="Times New Roman"/>
          <w:sz w:val="24"/>
          <w:szCs w:val="24"/>
        </w:rPr>
        <w:t xml:space="preserve"> naj bi bila  čim višja, običajno je </w:t>
      </w:r>
      <w:r w:rsidRPr="00AB776D">
        <w:rPr>
          <w:rFonts w:ascii="Times New Roman" w:hAnsi="Times New Roman"/>
          <w:b/>
          <w:sz w:val="24"/>
          <w:szCs w:val="24"/>
        </w:rPr>
        <w:t>med 40 in 60 mg/dl</w:t>
      </w:r>
      <w:r w:rsidRPr="00AB776D">
        <w:rPr>
          <w:rFonts w:ascii="Times New Roman" w:hAnsi="Times New Roman"/>
          <w:sz w:val="24"/>
          <w:szCs w:val="24"/>
        </w:rPr>
        <w:t xml:space="preserve"> (1,04-1,56), posledice njenega znižanja pa so hujše pri ženskah. Kaže, da holesterol ni več kritični dejavnik pri osebah starih nad 75 let. Zaželjene vrednosti so:</w:t>
      </w:r>
    </w:p>
    <w:p w:rsidR="003D6523" w:rsidRPr="00AB776D" w:rsidRDefault="003D6523">
      <w:pPr>
        <w:numPr>
          <w:ilvl w:val="0"/>
          <w:numId w:val="4"/>
        </w:numPr>
        <w:tabs>
          <w:tab w:val="left" w:pos="5426"/>
        </w:tabs>
        <w:rPr>
          <w:rFonts w:ascii="Times New Roman" w:hAnsi="Times New Roman"/>
          <w:sz w:val="24"/>
          <w:szCs w:val="24"/>
        </w:rPr>
      </w:pPr>
      <w:r w:rsidRPr="00AB776D">
        <w:rPr>
          <w:rFonts w:ascii="Times New Roman" w:hAnsi="Times New Roman"/>
          <w:sz w:val="24"/>
          <w:szCs w:val="24"/>
        </w:rPr>
        <w:t>celokupni holesterol: &lt; 5,18 mmol/L</w:t>
      </w:r>
    </w:p>
    <w:p w:rsidR="003D6523" w:rsidRPr="00AB776D" w:rsidRDefault="003D6523">
      <w:pPr>
        <w:numPr>
          <w:ilvl w:val="0"/>
          <w:numId w:val="4"/>
        </w:numPr>
        <w:tabs>
          <w:tab w:val="left" w:pos="5426"/>
        </w:tabs>
        <w:rPr>
          <w:rFonts w:ascii="Times New Roman" w:hAnsi="Times New Roman"/>
          <w:sz w:val="24"/>
          <w:szCs w:val="24"/>
        </w:rPr>
      </w:pPr>
      <w:r w:rsidRPr="00AB776D">
        <w:rPr>
          <w:rFonts w:ascii="Times New Roman" w:hAnsi="Times New Roman"/>
          <w:sz w:val="24"/>
          <w:szCs w:val="24"/>
        </w:rPr>
        <w:t>LDL: &lt; 4,14 mmol/L</w:t>
      </w:r>
    </w:p>
    <w:p w:rsidR="003D6523" w:rsidRPr="00AB776D" w:rsidRDefault="003D6523">
      <w:pPr>
        <w:numPr>
          <w:ilvl w:val="0"/>
          <w:numId w:val="4"/>
        </w:numPr>
        <w:tabs>
          <w:tab w:val="left" w:pos="5426"/>
        </w:tabs>
        <w:rPr>
          <w:rFonts w:ascii="Times New Roman" w:hAnsi="Times New Roman"/>
          <w:sz w:val="24"/>
          <w:szCs w:val="24"/>
        </w:rPr>
      </w:pPr>
      <w:r w:rsidRPr="00AB776D">
        <w:rPr>
          <w:rFonts w:ascii="Times New Roman" w:hAnsi="Times New Roman"/>
          <w:sz w:val="24"/>
          <w:szCs w:val="24"/>
        </w:rPr>
        <w:t>HDL: &gt; 0,91 mmol/L</w:t>
      </w:r>
    </w:p>
    <w:p w:rsidR="003D6523" w:rsidRPr="00AB776D" w:rsidRDefault="003D6523">
      <w:pPr>
        <w:numPr>
          <w:ilvl w:val="0"/>
          <w:numId w:val="4"/>
        </w:numPr>
        <w:tabs>
          <w:tab w:val="left" w:pos="5426"/>
        </w:tabs>
        <w:rPr>
          <w:rFonts w:ascii="Times New Roman" w:hAnsi="Times New Roman"/>
          <w:sz w:val="24"/>
          <w:szCs w:val="24"/>
        </w:rPr>
      </w:pPr>
      <w:r w:rsidRPr="00AB776D">
        <w:rPr>
          <w:rFonts w:ascii="Times New Roman" w:hAnsi="Times New Roman"/>
          <w:sz w:val="24"/>
          <w:szCs w:val="24"/>
        </w:rPr>
        <w:t>TAG: &lt; 2,26 mmol/L</w:t>
      </w:r>
    </w:p>
    <w:p w:rsidR="003D6523" w:rsidRPr="00AB776D" w:rsidRDefault="003D6523">
      <w:pPr>
        <w:rPr>
          <w:rFonts w:ascii="Times New Roman" w:hAnsi="Times New Roman"/>
          <w:sz w:val="24"/>
          <w:szCs w:val="24"/>
        </w:rPr>
      </w:pPr>
      <w:r w:rsidRPr="00AB776D">
        <w:rPr>
          <w:rFonts w:ascii="Times New Roman" w:hAnsi="Times New Roman"/>
          <w:sz w:val="24"/>
          <w:szCs w:val="24"/>
        </w:rPr>
        <w:t>Za zdravljenje zvišanega LDL s statini se odločimo vedno kadar ima pacient koronarno srčno bolezen ali druge oblike ateroskleroze, drugače pa za vsakega posameznika preračunamo na podlagi starosti in riskantnih dejavnikov za koronarno bolezen (kajenje,HDL, totalni holesterol,...), ali je takšno zdravljenje potrebno ali pa zadostuje le pravilna dieta. Npr. za tiste, ki imajo 20 in več % možnosti, da v 10 letih razvijejo srčno koronarno bolezen, predpišemo zdravljenje s statini.</w:t>
      </w:r>
    </w:p>
    <w:p w:rsidR="003D6523" w:rsidRDefault="003D6523"/>
    <w:p w:rsidR="003D6523" w:rsidRPr="00AB776D" w:rsidRDefault="003D6523">
      <w:pPr>
        <w:rPr>
          <w:rFonts w:ascii="Arial Black" w:hAnsi="Arial Black"/>
          <w:b/>
          <w:color w:val="800080"/>
        </w:rPr>
      </w:pPr>
      <w:r w:rsidRPr="00AB776D">
        <w:rPr>
          <w:rFonts w:ascii="Arial Black" w:hAnsi="Arial Black"/>
          <w:b/>
          <w:color w:val="800080"/>
        </w:rPr>
        <w:t>PRIMARNE HIPERLIPOPROTEINEMIJE</w:t>
      </w:r>
    </w:p>
    <w:p w:rsidR="003D6523" w:rsidRPr="00AB776D" w:rsidRDefault="003D6523">
      <w:pPr>
        <w:jc w:val="both"/>
        <w:rPr>
          <w:rFonts w:cs="Arial"/>
          <w:szCs w:val="22"/>
        </w:rPr>
      </w:pPr>
      <w:r w:rsidRPr="00AB776D">
        <w:rPr>
          <w:rFonts w:cs="Arial"/>
          <w:szCs w:val="22"/>
        </w:rPr>
        <w:t>O primarnih hiperlipoproteinamijah govorimo, kadar je vzrok za povišane vrednosti lipoproteinov v plazmi napaka v samem sistemu lipoproteinov. Te bolezni so zelo redke, vendar na njih pri postavljanju diagnoze ne smemo pozabiti. Delimo jih na:</w:t>
      </w:r>
    </w:p>
    <w:p w:rsidR="003D6523" w:rsidRPr="00AB776D" w:rsidRDefault="003D6523">
      <w:pPr>
        <w:numPr>
          <w:ilvl w:val="0"/>
          <w:numId w:val="4"/>
        </w:numPr>
        <w:jc w:val="both"/>
        <w:rPr>
          <w:rFonts w:cs="Arial"/>
          <w:b/>
          <w:color w:val="800080"/>
          <w:szCs w:val="22"/>
        </w:rPr>
      </w:pPr>
      <w:r w:rsidRPr="00AB776D">
        <w:rPr>
          <w:rFonts w:cs="Arial"/>
          <w:b/>
          <w:color w:val="800080"/>
          <w:szCs w:val="22"/>
        </w:rPr>
        <w:t>HIPERHOLESTEROLEMIJE</w:t>
      </w:r>
    </w:p>
    <w:p w:rsidR="003D6523" w:rsidRPr="00AB776D" w:rsidRDefault="003D6523">
      <w:pPr>
        <w:ind w:left="360"/>
        <w:jc w:val="both"/>
        <w:rPr>
          <w:rFonts w:cs="Arial"/>
          <w:b/>
          <w:szCs w:val="22"/>
        </w:rPr>
      </w:pPr>
      <w:r w:rsidRPr="00AB776D">
        <w:rPr>
          <w:rFonts w:cs="Arial"/>
          <w:szCs w:val="22"/>
        </w:rPr>
        <w:t xml:space="preserve">Povišani nivoji holesterola v plazmi v prisotnosti normalnih nivojev trigliceridov so skoraj vedno povezani z povečano plazemsko koncentracijo LDL, ker le-ta prenaša do 75 procentov celotnega plazemskega holesterola. HDL je redko vzrok povišanemu holesterolu. Vzrok za povišan LDL holesterol je lahko defekt enega gena, poligenski defekt ali sekundarni efekt drugih bolezenskih stanj. </w:t>
      </w:r>
      <w:r w:rsidRPr="00AB776D">
        <w:rPr>
          <w:rFonts w:cs="Arial"/>
          <w:b/>
          <w:szCs w:val="22"/>
        </w:rPr>
        <w:t>Povišan holesterol je zelo pomemben dejavnik tveganja za aterosklerozo.</w:t>
      </w:r>
    </w:p>
    <w:p w:rsidR="003D6523" w:rsidRPr="00AB776D" w:rsidRDefault="003D6523">
      <w:pPr>
        <w:numPr>
          <w:ilvl w:val="0"/>
          <w:numId w:val="4"/>
        </w:numPr>
        <w:jc w:val="both"/>
        <w:rPr>
          <w:rFonts w:cs="Arial"/>
          <w:b/>
          <w:color w:val="800080"/>
          <w:szCs w:val="22"/>
        </w:rPr>
      </w:pPr>
      <w:r w:rsidRPr="00AB776D">
        <w:rPr>
          <w:rFonts w:cs="Arial"/>
          <w:b/>
          <w:color w:val="800080"/>
          <w:szCs w:val="22"/>
        </w:rPr>
        <w:t>HIPERTRIGLICERIDEMIJE</w:t>
      </w:r>
    </w:p>
    <w:p w:rsidR="003D6523" w:rsidRPr="00AB776D" w:rsidRDefault="003D6523">
      <w:pPr>
        <w:ind w:left="360"/>
        <w:jc w:val="both"/>
        <w:rPr>
          <w:rFonts w:cs="Arial"/>
          <w:b/>
          <w:szCs w:val="22"/>
        </w:rPr>
      </w:pPr>
      <w:r w:rsidRPr="00AB776D">
        <w:rPr>
          <w:rFonts w:cs="Arial"/>
          <w:szCs w:val="22"/>
        </w:rPr>
        <w:t xml:space="preserve">Diagnoza hipertrigliceredemije se postavi na osnovi plazemskih lipidov zjutraj na tešče. Patološki so plazemski nivoji, ki presegajo 95% višje vrednosti, ki so predpisani za določeno starost in spol. Vzrok za povišanje so lahko povišani nivoji VLDL ali kombinacija povišanja VLDL in hilomikronov.  Kadar nivoji trigliceridov presegajo 11 mmol/L se pojavijo po telesu majhne oranžno-rdeče papule. </w:t>
      </w:r>
      <w:r w:rsidRPr="00AB776D">
        <w:rPr>
          <w:rFonts w:cs="Arial"/>
          <w:b/>
          <w:szCs w:val="22"/>
        </w:rPr>
        <w:t>Akutni pankreatitis je glavno tveganje pri tako povišanih vrednostih plazemskih trigliceridov.</w:t>
      </w:r>
    </w:p>
    <w:p w:rsidR="003D6523" w:rsidRPr="00AB776D" w:rsidRDefault="003D6523">
      <w:pPr>
        <w:ind w:left="360"/>
        <w:jc w:val="both"/>
        <w:rPr>
          <w:rFonts w:cs="Arial"/>
          <w:szCs w:val="22"/>
        </w:rPr>
      </w:pPr>
      <w:r w:rsidRPr="00AB776D">
        <w:rPr>
          <w:rFonts w:cs="Arial"/>
          <w:szCs w:val="22"/>
        </w:rPr>
        <w:t>Povišanje je ponavadi posledica povečane sinteze in sekrecije VLDL v jetrih. Ta je povezana z vnosom substratov, energijsko bilanco in hormoskih statusom. Stimulacija za sintezo VLDL je povečan dotok prostih maščobnih kislin iz maščobnega tkiva.  Kadar vrednosti presežejo 11 mmol/L, lahko pride do nasičenja in pomanjkanja lipoproteinskih lipaz. Dodatek hilomikronov pa še dramatično poviša nivo plazemskih trigliceridov.</w:t>
      </w:r>
    </w:p>
    <w:p w:rsidR="00AB776D" w:rsidRPr="00AB776D" w:rsidRDefault="003D6523" w:rsidP="00AB776D">
      <w:pPr>
        <w:numPr>
          <w:ilvl w:val="0"/>
          <w:numId w:val="4"/>
        </w:numPr>
        <w:jc w:val="both"/>
        <w:rPr>
          <w:rFonts w:cs="Arial"/>
          <w:b/>
          <w:color w:val="800080"/>
          <w:szCs w:val="22"/>
        </w:rPr>
      </w:pPr>
      <w:r w:rsidRPr="00AB776D">
        <w:rPr>
          <w:rFonts w:cs="Arial"/>
          <w:b/>
          <w:color w:val="800080"/>
          <w:szCs w:val="22"/>
        </w:rPr>
        <w:t>HIPERHOLESTEROLEMIJE Z HIPERTRIGLICERIDEMIJO</w:t>
      </w:r>
    </w:p>
    <w:tbl>
      <w:tblPr>
        <w:tblpPr w:leftFromText="141" w:rightFromText="141" w:vertAnchor="text" w:horzAnchor="margin" w:tblpXSpec="center" w:tblpY="28"/>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056"/>
        <w:gridCol w:w="1284"/>
        <w:gridCol w:w="1956"/>
        <w:gridCol w:w="1440"/>
        <w:gridCol w:w="2550"/>
      </w:tblGrid>
      <w:tr w:rsidR="00AB776D" w:rsidRPr="00AB776D">
        <w:tc>
          <w:tcPr>
            <w:tcW w:w="1980" w:type="dxa"/>
            <w:tcBorders>
              <w:bottom w:val="double" w:sz="4" w:space="0" w:color="auto"/>
            </w:tcBorders>
            <w:vAlign w:val="center"/>
          </w:tcPr>
          <w:p w:rsidR="00AB776D" w:rsidRPr="00AB776D" w:rsidRDefault="00AB776D" w:rsidP="00AB776D">
            <w:pPr>
              <w:tabs>
                <w:tab w:val="right" w:pos="1933"/>
              </w:tabs>
              <w:jc w:val="center"/>
              <w:rPr>
                <w:b/>
                <w:sz w:val="20"/>
              </w:rPr>
            </w:pPr>
            <w:r w:rsidRPr="00AB776D">
              <w:rPr>
                <w:b/>
                <w:sz w:val="20"/>
              </w:rPr>
              <w:t>BOLEZEN</w:t>
            </w:r>
          </w:p>
        </w:tc>
        <w:tc>
          <w:tcPr>
            <w:tcW w:w="1056" w:type="dxa"/>
            <w:tcBorders>
              <w:bottom w:val="double" w:sz="4" w:space="0" w:color="auto"/>
            </w:tcBorders>
            <w:vAlign w:val="center"/>
          </w:tcPr>
          <w:p w:rsidR="00AB776D" w:rsidRPr="00AB776D" w:rsidRDefault="00AB776D" w:rsidP="00AB776D">
            <w:pPr>
              <w:jc w:val="center"/>
              <w:rPr>
                <w:b/>
                <w:sz w:val="20"/>
              </w:rPr>
            </w:pPr>
            <w:r w:rsidRPr="00AB776D">
              <w:rPr>
                <w:b/>
                <w:sz w:val="20"/>
              </w:rPr>
              <w:t>FENOTIP</w:t>
            </w:r>
          </w:p>
        </w:tc>
        <w:tc>
          <w:tcPr>
            <w:tcW w:w="1284" w:type="dxa"/>
            <w:tcBorders>
              <w:bottom w:val="double" w:sz="4" w:space="0" w:color="auto"/>
            </w:tcBorders>
            <w:vAlign w:val="center"/>
          </w:tcPr>
          <w:p w:rsidR="00AB776D" w:rsidRPr="00AB776D" w:rsidRDefault="00AB776D" w:rsidP="00AB776D">
            <w:pPr>
              <w:jc w:val="center"/>
              <w:rPr>
                <w:b/>
                <w:sz w:val="20"/>
              </w:rPr>
            </w:pPr>
            <w:r w:rsidRPr="00AB776D">
              <w:rPr>
                <w:b/>
                <w:sz w:val="20"/>
              </w:rPr>
              <w:t>DEDOVANJE</w:t>
            </w:r>
          </w:p>
        </w:tc>
        <w:tc>
          <w:tcPr>
            <w:tcW w:w="1956" w:type="dxa"/>
            <w:tcBorders>
              <w:bottom w:val="double" w:sz="4" w:space="0" w:color="auto"/>
            </w:tcBorders>
            <w:vAlign w:val="center"/>
          </w:tcPr>
          <w:p w:rsidR="00AB776D" w:rsidRPr="00AB776D" w:rsidRDefault="00AB776D" w:rsidP="00AB776D">
            <w:pPr>
              <w:jc w:val="center"/>
              <w:rPr>
                <w:b/>
                <w:sz w:val="20"/>
              </w:rPr>
            </w:pPr>
            <w:r w:rsidRPr="00AB776D">
              <w:rPr>
                <w:b/>
                <w:sz w:val="20"/>
              </w:rPr>
              <w:t>VREDNOSTI mmol/L (mg/dL)</w:t>
            </w:r>
          </w:p>
        </w:tc>
        <w:tc>
          <w:tcPr>
            <w:tcW w:w="1440" w:type="dxa"/>
            <w:tcBorders>
              <w:bottom w:val="double" w:sz="4" w:space="0" w:color="auto"/>
            </w:tcBorders>
            <w:vAlign w:val="center"/>
          </w:tcPr>
          <w:p w:rsidR="00AB776D" w:rsidRPr="00AB776D" w:rsidRDefault="00AB776D" w:rsidP="00AB776D">
            <w:pPr>
              <w:jc w:val="center"/>
              <w:rPr>
                <w:b/>
                <w:sz w:val="20"/>
              </w:rPr>
            </w:pPr>
            <w:r w:rsidRPr="00AB776D">
              <w:rPr>
                <w:b/>
                <w:sz w:val="20"/>
              </w:rPr>
              <w:t>POVIŠANI LIPOPROTEINI</w:t>
            </w:r>
          </w:p>
        </w:tc>
        <w:tc>
          <w:tcPr>
            <w:tcW w:w="2550" w:type="dxa"/>
            <w:tcBorders>
              <w:bottom w:val="double" w:sz="4" w:space="0" w:color="auto"/>
            </w:tcBorders>
            <w:vAlign w:val="center"/>
          </w:tcPr>
          <w:p w:rsidR="00AB776D" w:rsidRPr="00AB776D" w:rsidRDefault="00AB776D" w:rsidP="00AB776D">
            <w:pPr>
              <w:jc w:val="center"/>
              <w:rPr>
                <w:b/>
                <w:sz w:val="20"/>
              </w:rPr>
            </w:pPr>
            <w:r w:rsidRPr="00AB776D">
              <w:rPr>
                <w:b/>
                <w:sz w:val="20"/>
              </w:rPr>
              <w:t>MEHANIZEM</w:t>
            </w:r>
          </w:p>
        </w:tc>
      </w:tr>
      <w:tr w:rsidR="00AB776D" w:rsidRPr="00AB776D">
        <w:trPr>
          <w:cantSplit/>
          <w:trHeight w:val="487"/>
        </w:trPr>
        <w:tc>
          <w:tcPr>
            <w:tcW w:w="1980" w:type="dxa"/>
            <w:vMerge w:val="restart"/>
            <w:tcBorders>
              <w:top w:val="double" w:sz="4" w:space="0" w:color="auto"/>
            </w:tcBorders>
            <w:vAlign w:val="center"/>
          </w:tcPr>
          <w:p w:rsidR="00AB776D" w:rsidRPr="00AB776D" w:rsidRDefault="00AB776D" w:rsidP="00AB776D">
            <w:pPr>
              <w:jc w:val="center"/>
              <w:rPr>
                <w:b/>
                <w:sz w:val="18"/>
                <w:szCs w:val="18"/>
              </w:rPr>
            </w:pPr>
            <w:r w:rsidRPr="00AB776D">
              <w:rPr>
                <w:b/>
                <w:sz w:val="18"/>
                <w:szCs w:val="18"/>
              </w:rPr>
              <w:t>Družinska hiperholesterolemija</w:t>
            </w:r>
          </w:p>
        </w:tc>
        <w:tc>
          <w:tcPr>
            <w:tcW w:w="1056" w:type="dxa"/>
            <w:vMerge w:val="restart"/>
            <w:tcBorders>
              <w:top w:val="double" w:sz="4" w:space="0" w:color="auto"/>
            </w:tcBorders>
            <w:vAlign w:val="center"/>
          </w:tcPr>
          <w:p w:rsidR="00AB776D" w:rsidRPr="00AB776D" w:rsidRDefault="00AB776D" w:rsidP="00AB776D">
            <w:pPr>
              <w:tabs>
                <w:tab w:val="left" w:pos="604"/>
              </w:tabs>
              <w:jc w:val="center"/>
              <w:rPr>
                <w:sz w:val="18"/>
                <w:szCs w:val="18"/>
              </w:rPr>
            </w:pPr>
            <w:r w:rsidRPr="00AB776D">
              <w:rPr>
                <w:sz w:val="18"/>
                <w:szCs w:val="18"/>
              </w:rPr>
              <w:t>IIa</w:t>
            </w:r>
          </w:p>
        </w:tc>
        <w:tc>
          <w:tcPr>
            <w:tcW w:w="1284" w:type="dxa"/>
            <w:vMerge w:val="restart"/>
            <w:tcBorders>
              <w:top w:val="double" w:sz="4" w:space="0" w:color="auto"/>
            </w:tcBorders>
            <w:vAlign w:val="center"/>
          </w:tcPr>
          <w:p w:rsidR="00AB776D" w:rsidRPr="00AB776D" w:rsidRDefault="00AB776D" w:rsidP="00AB776D">
            <w:pPr>
              <w:jc w:val="center"/>
              <w:rPr>
                <w:sz w:val="18"/>
                <w:szCs w:val="18"/>
              </w:rPr>
            </w:pPr>
            <w:r w:rsidRPr="00AB776D">
              <w:rPr>
                <w:sz w:val="18"/>
                <w:szCs w:val="18"/>
              </w:rPr>
              <w:t>kodominantno</w:t>
            </w:r>
          </w:p>
        </w:tc>
        <w:tc>
          <w:tcPr>
            <w:tcW w:w="1956" w:type="dxa"/>
            <w:tcBorders>
              <w:top w:val="double" w:sz="4" w:space="0" w:color="auto"/>
            </w:tcBorders>
            <w:vAlign w:val="center"/>
          </w:tcPr>
          <w:p w:rsidR="00AB776D" w:rsidRPr="00AB776D" w:rsidRDefault="00AB776D" w:rsidP="00AB776D">
            <w:pPr>
              <w:jc w:val="center"/>
              <w:rPr>
                <w:sz w:val="18"/>
                <w:szCs w:val="18"/>
              </w:rPr>
            </w:pPr>
            <w:r w:rsidRPr="00AB776D">
              <w:rPr>
                <w:sz w:val="18"/>
                <w:szCs w:val="18"/>
              </w:rPr>
              <w:t>Heterozigoti</w:t>
            </w:r>
          </w:p>
          <w:p w:rsidR="00AB776D" w:rsidRPr="00AB776D" w:rsidRDefault="00AB776D" w:rsidP="00AB776D">
            <w:pPr>
              <w:jc w:val="center"/>
              <w:rPr>
                <w:sz w:val="18"/>
                <w:szCs w:val="18"/>
              </w:rPr>
            </w:pPr>
          </w:p>
          <w:p w:rsidR="00AB776D" w:rsidRPr="00AB776D" w:rsidRDefault="00AB776D" w:rsidP="00AB776D">
            <w:pPr>
              <w:jc w:val="center"/>
              <w:rPr>
                <w:sz w:val="18"/>
                <w:szCs w:val="18"/>
              </w:rPr>
            </w:pPr>
            <w:r w:rsidRPr="00AB776D">
              <w:rPr>
                <w:sz w:val="18"/>
                <w:szCs w:val="18"/>
              </w:rPr>
              <w:t>H = 7-13 (275-500)</w:t>
            </w:r>
          </w:p>
        </w:tc>
        <w:tc>
          <w:tcPr>
            <w:tcW w:w="1440" w:type="dxa"/>
            <w:vMerge w:val="restart"/>
            <w:tcBorders>
              <w:top w:val="double" w:sz="4" w:space="0" w:color="auto"/>
            </w:tcBorders>
            <w:vAlign w:val="center"/>
          </w:tcPr>
          <w:p w:rsidR="00AB776D" w:rsidRPr="00AB776D" w:rsidRDefault="00AB776D" w:rsidP="00AB776D">
            <w:pPr>
              <w:jc w:val="center"/>
              <w:rPr>
                <w:sz w:val="18"/>
                <w:szCs w:val="18"/>
              </w:rPr>
            </w:pPr>
            <w:r w:rsidRPr="00AB776D">
              <w:rPr>
                <w:sz w:val="18"/>
                <w:szCs w:val="18"/>
              </w:rPr>
              <w:t>LDL</w:t>
            </w:r>
          </w:p>
        </w:tc>
        <w:tc>
          <w:tcPr>
            <w:tcW w:w="2550" w:type="dxa"/>
            <w:vMerge w:val="restart"/>
            <w:tcBorders>
              <w:top w:val="double" w:sz="4" w:space="0" w:color="auto"/>
            </w:tcBorders>
            <w:vAlign w:val="center"/>
          </w:tcPr>
          <w:p w:rsidR="00AB776D" w:rsidRPr="00AB776D" w:rsidRDefault="00AB776D" w:rsidP="00AB776D">
            <w:pPr>
              <w:jc w:val="center"/>
              <w:rPr>
                <w:sz w:val="16"/>
                <w:szCs w:val="16"/>
              </w:rPr>
            </w:pPr>
            <w:r w:rsidRPr="00AB776D">
              <w:rPr>
                <w:sz w:val="16"/>
                <w:szCs w:val="16"/>
              </w:rPr>
              <w:t>Mutacija v genu za LDL receptor. Posledica zmanjšanega števila LDL receptorjev je manjši klirens in povečana produkcija LDL, zaradi pospešene sekrecije VLDL in IDL iz jeter.</w:t>
            </w:r>
          </w:p>
        </w:tc>
      </w:tr>
      <w:tr w:rsidR="00AB776D" w:rsidRPr="00AB776D">
        <w:trPr>
          <w:cantSplit/>
          <w:trHeight w:val="415"/>
        </w:trPr>
        <w:tc>
          <w:tcPr>
            <w:tcW w:w="1980" w:type="dxa"/>
            <w:vMerge/>
            <w:vAlign w:val="center"/>
          </w:tcPr>
          <w:p w:rsidR="00AB776D" w:rsidRPr="00AB776D" w:rsidRDefault="00AB776D" w:rsidP="00AB776D">
            <w:pPr>
              <w:jc w:val="center"/>
              <w:rPr>
                <w:b/>
                <w:sz w:val="18"/>
                <w:szCs w:val="18"/>
              </w:rPr>
            </w:pPr>
          </w:p>
        </w:tc>
        <w:tc>
          <w:tcPr>
            <w:tcW w:w="1056" w:type="dxa"/>
            <w:vMerge/>
            <w:vAlign w:val="center"/>
          </w:tcPr>
          <w:p w:rsidR="00AB776D" w:rsidRPr="00AB776D" w:rsidRDefault="00AB776D" w:rsidP="00AB776D">
            <w:pPr>
              <w:tabs>
                <w:tab w:val="left" w:pos="604"/>
              </w:tabs>
              <w:jc w:val="center"/>
              <w:rPr>
                <w:sz w:val="18"/>
                <w:szCs w:val="18"/>
              </w:rPr>
            </w:pPr>
          </w:p>
        </w:tc>
        <w:tc>
          <w:tcPr>
            <w:tcW w:w="1284" w:type="dxa"/>
            <w:vMerge/>
            <w:vAlign w:val="center"/>
          </w:tcPr>
          <w:p w:rsidR="00AB776D" w:rsidRPr="00AB776D" w:rsidRDefault="00AB776D" w:rsidP="00AB776D">
            <w:pPr>
              <w:jc w:val="center"/>
              <w:rPr>
                <w:sz w:val="18"/>
                <w:szCs w:val="18"/>
              </w:rPr>
            </w:pPr>
          </w:p>
        </w:tc>
        <w:tc>
          <w:tcPr>
            <w:tcW w:w="1956" w:type="dxa"/>
            <w:vAlign w:val="center"/>
          </w:tcPr>
          <w:p w:rsidR="00AB776D" w:rsidRPr="00AB776D" w:rsidRDefault="00AB776D" w:rsidP="00AB776D">
            <w:pPr>
              <w:jc w:val="center"/>
              <w:rPr>
                <w:sz w:val="18"/>
                <w:szCs w:val="18"/>
              </w:rPr>
            </w:pPr>
            <w:r w:rsidRPr="00AB776D">
              <w:rPr>
                <w:sz w:val="18"/>
                <w:szCs w:val="18"/>
              </w:rPr>
              <w:t>Homozigoti</w:t>
            </w:r>
          </w:p>
          <w:p w:rsidR="00AB776D" w:rsidRPr="00AB776D" w:rsidRDefault="00AB776D" w:rsidP="00AB776D">
            <w:pPr>
              <w:jc w:val="center"/>
              <w:rPr>
                <w:sz w:val="18"/>
                <w:szCs w:val="18"/>
              </w:rPr>
            </w:pPr>
          </w:p>
          <w:p w:rsidR="00AB776D" w:rsidRPr="00AB776D" w:rsidRDefault="00AB776D" w:rsidP="00AB776D">
            <w:pPr>
              <w:jc w:val="center"/>
              <w:rPr>
                <w:sz w:val="18"/>
                <w:szCs w:val="18"/>
              </w:rPr>
            </w:pPr>
            <w:r w:rsidRPr="00AB776D">
              <w:rPr>
                <w:sz w:val="18"/>
                <w:szCs w:val="18"/>
              </w:rPr>
              <w:t>H = &gt; 13 (&gt; 500)</w:t>
            </w:r>
          </w:p>
        </w:tc>
        <w:tc>
          <w:tcPr>
            <w:tcW w:w="1440" w:type="dxa"/>
            <w:vMerge/>
            <w:vAlign w:val="center"/>
          </w:tcPr>
          <w:p w:rsidR="00AB776D" w:rsidRPr="00AB776D" w:rsidRDefault="00AB776D" w:rsidP="00AB776D">
            <w:pPr>
              <w:jc w:val="center"/>
              <w:rPr>
                <w:sz w:val="18"/>
                <w:szCs w:val="18"/>
              </w:rPr>
            </w:pPr>
          </w:p>
        </w:tc>
        <w:tc>
          <w:tcPr>
            <w:tcW w:w="2550" w:type="dxa"/>
            <w:vMerge/>
            <w:vAlign w:val="center"/>
          </w:tcPr>
          <w:p w:rsidR="00AB776D" w:rsidRPr="00AB776D" w:rsidRDefault="00AB776D" w:rsidP="00AB776D">
            <w:pPr>
              <w:jc w:val="center"/>
              <w:rPr>
                <w:sz w:val="16"/>
                <w:szCs w:val="16"/>
              </w:rPr>
            </w:pPr>
          </w:p>
        </w:tc>
      </w:tr>
      <w:tr w:rsidR="00AB776D" w:rsidRPr="00AB776D">
        <w:tc>
          <w:tcPr>
            <w:tcW w:w="1980" w:type="dxa"/>
            <w:vAlign w:val="center"/>
          </w:tcPr>
          <w:p w:rsidR="00AB776D" w:rsidRPr="00AB776D" w:rsidRDefault="00AB776D" w:rsidP="00AB776D">
            <w:pPr>
              <w:jc w:val="center"/>
              <w:rPr>
                <w:b/>
                <w:sz w:val="18"/>
                <w:szCs w:val="18"/>
              </w:rPr>
            </w:pPr>
            <w:r w:rsidRPr="00AB776D">
              <w:rPr>
                <w:b/>
                <w:sz w:val="18"/>
                <w:szCs w:val="18"/>
              </w:rPr>
              <w:t>Družinski defekt apo B100</w:t>
            </w:r>
          </w:p>
        </w:tc>
        <w:tc>
          <w:tcPr>
            <w:tcW w:w="1056" w:type="dxa"/>
            <w:vAlign w:val="center"/>
          </w:tcPr>
          <w:p w:rsidR="00AB776D" w:rsidRPr="00AB776D" w:rsidRDefault="00AB776D" w:rsidP="00AB776D">
            <w:pPr>
              <w:jc w:val="center"/>
              <w:rPr>
                <w:sz w:val="18"/>
                <w:szCs w:val="18"/>
              </w:rPr>
            </w:pPr>
            <w:r w:rsidRPr="00AB776D">
              <w:rPr>
                <w:sz w:val="18"/>
                <w:szCs w:val="18"/>
              </w:rPr>
              <w:t>IIa</w:t>
            </w:r>
          </w:p>
        </w:tc>
        <w:tc>
          <w:tcPr>
            <w:tcW w:w="1284" w:type="dxa"/>
            <w:vAlign w:val="center"/>
          </w:tcPr>
          <w:p w:rsidR="00AB776D" w:rsidRPr="00AB776D" w:rsidRDefault="00AB776D" w:rsidP="00AB776D">
            <w:pPr>
              <w:jc w:val="center"/>
              <w:rPr>
                <w:sz w:val="18"/>
                <w:szCs w:val="18"/>
              </w:rPr>
            </w:pPr>
            <w:r w:rsidRPr="00AB776D">
              <w:rPr>
                <w:sz w:val="18"/>
                <w:szCs w:val="18"/>
              </w:rPr>
              <w:t>avtosomno dominantno</w:t>
            </w:r>
          </w:p>
        </w:tc>
        <w:tc>
          <w:tcPr>
            <w:tcW w:w="1956" w:type="dxa"/>
            <w:vAlign w:val="center"/>
          </w:tcPr>
          <w:p w:rsidR="00AB776D" w:rsidRPr="00AB776D" w:rsidRDefault="00AB776D" w:rsidP="00AB776D">
            <w:pPr>
              <w:jc w:val="center"/>
              <w:rPr>
                <w:sz w:val="18"/>
                <w:szCs w:val="18"/>
              </w:rPr>
            </w:pPr>
            <w:r w:rsidRPr="00AB776D">
              <w:rPr>
                <w:sz w:val="18"/>
                <w:szCs w:val="18"/>
              </w:rPr>
              <w:t>H = 7-13 (275-500)</w:t>
            </w:r>
          </w:p>
          <w:p w:rsidR="00AB776D" w:rsidRPr="00AB776D" w:rsidRDefault="00AB776D" w:rsidP="00AB776D">
            <w:pPr>
              <w:jc w:val="center"/>
              <w:rPr>
                <w:sz w:val="18"/>
                <w:szCs w:val="18"/>
              </w:rPr>
            </w:pPr>
          </w:p>
        </w:tc>
        <w:tc>
          <w:tcPr>
            <w:tcW w:w="1440" w:type="dxa"/>
            <w:vAlign w:val="center"/>
          </w:tcPr>
          <w:p w:rsidR="00AB776D" w:rsidRPr="00AB776D" w:rsidRDefault="00AB776D" w:rsidP="00AB776D">
            <w:pPr>
              <w:jc w:val="center"/>
              <w:rPr>
                <w:sz w:val="18"/>
                <w:szCs w:val="18"/>
              </w:rPr>
            </w:pPr>
            <w:r w:rsidRPr="00AB776D">
              <w:rPr>
                <w:sz w:val="18"/>
                <w:szCs w:val="18"/>
              </w:rPr>
              <w:t>LDL</w:t>
            </w:r>
          </w:p>
        </w:tc>
        <w:tc>
          <w:tcPr>
            <w:tcW w:w="2550" w:type="dxa"/>
            <w:vAlign w:val="center"/>
          </w:tcPr>
          <w:p w:rsidR="00AB776D" w:rsidRPr="00AB776D" w:rsidRDefault="00AB776D" w:rsidP="00AB776D">
            <w:pPr>
              <w:jc w:val="center"/>
              <w:rPr>
                <w:sz w:val="16"/>
                <w:szCs w:val="16"/>
              </w:rPr>
            </w:pPr>
            <w:r w:rsidRPr="00AB776D">
              <w:rPr>
                <w:sz w:val="16"/>
                <w:szCs w:val="16"/>
              </w:rPr>
              <w:t>Posledica missense mutacije, ki zmanjšuje afiniteto LDL za LDL receptor. Tako je zmanjšan katabolizem LDL.</w:t>
            </w:r>
          </w:p>
        </w:tc>
      </w:tr>
      <w:tr w:rsidR="00AB776D" w:rsidRPr="00AB776D">
        <w:tc>
          <w:tcPr>
            <w:tcW w:w="1980" w:type="dxa"/>
            <w:vAlign w:val="center"/>
          </w:tcPr>
          <w:p w:rsidR="00AB776D" w:rsidRPr="00AB776D" w:rsidRDefault="00AB776D" w:rsidP="00AB776D">
            <w:pPr>
              <w:jc w:val="center"/>
              <w:rPr>
                <w:b/>
                <w:sz w:val="18"/>
                <w:szCs w:val="18"/>
              </w:rPr>
            </w:pPr>
            <w:r w:rsidRPr="00AB776D">
              <w:rPr>
                <w:b/>
                <w:sz w:val="18"/>
                <w:szCs w:val="18"/>
              </w:rPr>
              <w:t>Poligenska hiperholesterolemija</w:t>
            </w:r>
          </w:p>
        </w:tc>
        <w:tc>
          <w:tcPr>
            <w:tcW w:w="1056" w:type="dxa"/>
            <w:vAlign w:val="center"/>
          </w:tcPr>
          <w:p w:rsidR="00AB776D" w:rsidRPr="00AB776D" w:rsidRDefault="00AB776D" w:rsidP="00AB776D">
            <w:pPr>
              <w:jc w:val="center"/>
              <w:rPr>
                <w:sz w:val="18"/>
                <w:szCs w:val="18"/>
              </w:rPr>
            </w:pPr>
            <w:r w:rsidRPr="00AB776D">
              <w:rPr>
                <w:sz w:val="18"/>
                <w:szCs w:val="18"/>
              </w:rPr>
              <w:t>IIa</w:t>
            </w:r>
          </w:p>
        </w:tc>
        <w:tc>
          <w:tcPr>
            <w:tcW w:w="1284" w:type="dxa"/>
            <w:vAlign w:val="center"/>
          </w:tcPr>
          <w:p w:rsidR="00AB776D" w:rsidRPr="00AB776D" w:rsidRDefault="00AB776D" w:rsidP="00AB776D">
            <w:pPr>
              <w:jc w:val="center"/>
              <w:rPr>
                <w:sz w:val="18"/>
                <w:szCs w:val="18"/>
              </w:rPr>
            </w:pPr>
            <w:r w:rsidRPr="00AB776D">
              <w:rPr>
                <w:sz w:val="18"/>
                <w:szCs w:val="18"/>
              </w:rPr>
              <w:t>poligenske po izvoru</w:t>
            </w:r>
          </w:p>
        </w:tc>
        <w:tc>
          <w:tcPr>
            <w:tcW w:w="1956" w:type="dxa"/>
            <w:vAlign w:val="center"/>
          </w:tcPr>
          <w:p w:rsidR="00AB776D" w:rsidRPr="00AB776D" w:rsidRDefault="00AB776D" w:rsidP="00AB776D">
            <w:pPr>
              <w:jc w:val="center"/>
              <w:rPr>
                <w:sz w:val="18"/>
                <w:szCs w:val="18"/>
              </w:rPr>
            </w:pPr>
            <w:r w:rsidRPr="00AB776D">
              <w:rPr>
                <w:sz w:val="18"/>
                <w:szCs w:val="18"/>
              </w:rPr>
              <w:t>H = 6,5-9,0 (250-350)</w:t>
            </w:r>
          </w:p>
        </w:tc>
        <w:tc>
          <w:tcPr>
            <w:tcW w:w="1440" w:type="dxa"/>
            <w:vAlign w:val="center"/>
          </w:tcPr>
          <w:p w:rsidR="00AB776D" w:rsidRPr="00AB776D" w:rsidRDefault="00AB776D" w:rsidP="00AB776D">
            <w:pPr>
              <w:jc w:val="center"/>
              <w:rPr>
                <w:sz w:val="18"/>
                <w:szCs w:val="18"/>
              </w:rPr>
            </w:pPr>
            <w:r w:rsidRPr="00AB776D">
              <w:rPr>
                <w:sz w:val="18"/>
                <w:szCs w:val="18"/>
              </w:rPr>
              <w:t>LDL</w:t>
            </w:r>
          </w:p>
        </w:tc>
        <w:tc>
          <w:tcPr>
            <w:tcW w:w="2550" w:type="dxa"/>
            <w:vAlign w:val="center"/>
          </w:tcPr>
          <w:p w:rsidR="00AB776D" w:rsidRPr="00AB776D" w:rsidRDefault="00AB776D" w:rsidP="00AB776D">
            <w:pPr>
              <w:jc w:val="center"/>
              <w:rPr>
                <w:sz w:val="16"/>
                <w:szCs w:val="16"/>
              </w:rPr>
            </w:pPr>
            <w:r w:rsidRPr="00AB776D">
              <w:rPr>
                <w:sz w:val="16"/>
                <w:szCs w:val="16"/>
              </w:rPr>
              <w:t>Interakcije med različnimi geni in vplivi okolja vplivajo lahko na produkcijo, kot tudi katabolizem.</w:t>
            </w:r>
          </w:p>
        </w:tc>
      </w:tr>
      <w:tr w:rsidR="00AB776D" w:rsidRPr="00AB776D">
        <w:tc>
          <w:tcPr>
            <w:tcW w:w="1980" w:type="dxa"/>
            <w:shd w:val="clear" w:color="auto" w:fill="E0E0E0"/>
            <w:vAlign w:val="center"/>
          </w:tcPr>
          <w:p w:rsidR="00AB776D" w:rsidRPr="00AB776D" w:rsidRDefault="00AB776D" w:rsidP="00AB776D">
            <w:pPr>
              <w:jc w:val="center"/>
              <w:rPr>
                <w:b/>
                <w:sz w:val="18"/>
                <w:szCs w:val="18"/>
              </w:rPr>
            </w:pPr>
            <w:r w:rsidRPr="00AB776D">
              <w:rPr>
                <w:b/>
                <w:sz w:val="18"/>
                <w:szCs w:val="18"/>
              </w:rPr>
              <w:t>Družinska hipertrigliceridemija</w:t>
            </w:r>
          </w:p>
        </w:tc>
        <w:tc>
          <w:tcPr>
            <w:tcW w:w="1056" w:type="dxa"/>
            <w:vAlign w:val="center"/>
          </w:tcPr>
          <w:p w:rsidR="00AB776D" w:rsidRPr="00AB776D" w:rsidRDefault="00AB776D" w:rsidP="00AB776D">
            <w:pPr>
              <w:jc w:val="center"/>
              <w:rPr>
                <w:sz w:val="18"/>
                <w:szCs w:val="18"/>
              </w:rPr>
            </w:pPr>
            <w:r w:rsidRPr="00AB776D">
              <w:rPr>
                <w:sz w:val="18"/>
                <w:szCs w:val="18"/>
              </w:rPr>
              <w:t>IV</w:t>
            </w:r>
          </w:p>
        </w:tc>
        <w:tc>
          <w:tcPr>
            <w:tcW w:w="1284" w:type="dxa"/>
            <w:vAlign w:val="center"/>
          </w:tcPr>
          <w:p w:rsidR="00AB776D" w:rsidRPr="00AB776D" w:rsidRDefault="00AB776D" w:rsidP="00AB776D">
            <w:pPr>
              <w:jc w:val="center"/>
              <w:rPr>
                <w:sz w:val="18"/>
                <w:szCs w:val="18"/>
              </w:rPr>
            </w:pPr>
            <w:r w:rsidRPr="00AB776D">
              <w:rPr>
                <w:sz w:val="18"/>
                <w:szCs w:val="18"/>
              </w:rPr>
              <w:t>avtosomno dominantno</w:t>
            </w:r>
          </w:p>
        </w:tc>
        <w:tc>
          <w:tcPr>
            <w:tcW w:w="1956" w:type="dxa"/>
            <w:vAlign w:val="center"/>
          </w:tcPr>
          <w:p w:rsidR="00AB776D" w:rsidRPr="00AB776D" w:rsidRDefault="00AB776D" w:rsidP="00AB776D">
            <w:pPr>
              <w:jc w:val="center"/>
              <w:rPr>
                <w:sz w:val="18"/>
                <w:szCs w:val="18"/>
              </w:rPr>
            </w:pPr>
            <w:r w:rsidRPr="00AB776D">
              <w:rPr>
                <w:sz w:val="18"/>
                <w:szCs w:val="18"/>
              </w:rPr>
              <w:t>TAG = 2,8-8,5 (250-750)</w:t>
            </w:r>
          </w:p>
        </w:tc>
        <w:tc>
          <w:tcPr>
            <w:tcW w:w="1440" w:type="dxa"/>
            <w:vAlign w:val="center"/>
          </w:tcPr>
          <w:p w:rsidR="00AB776D" w:rsidRPr="00AB776D" w:rsidRDefault="00AB776D" w:rsidP="00AB776D">
            <w:pPr>
              <w:jc w:val="center"/>
              <w:rPr>
                <w:sz w:val="18"/>
                <w:szCs w:val="18"/>
              </w:rPr>
            </w:pPr>
            <w:r w:rsidRPr="00AB776D">
              <w:rPr>
                <w:sz w:val="18"/>
                <w:szCs w:val="18"/>
              </w:rPr>
              <w:t>VLDL (pri višjih vrednostih tudi hilomikroni)</w:t>
            </w:r>
          </w:p>
        </w:tc>
        <w:tc>
          <w:tcPr>
            <w:tcW w:w="2550" w:type="dxa"/>
            <w:vAlign w:val="center"/>
          </w:tcPr>
          <w:p w:rsidR="00AB776D" w:rsidRPr="00AB776D" w:rsidRDefault="00AB776D" w:rsidP="00AB776D">
            <w:pPr>
              <w:jc w:val="center"/>
              <w:rPr>
                <w:sz w:val="16"/>
                <w:szCs w:val="16"/>
              </w:rPr>
            </w:pPr>
            <w:r w:rsidRPr="00AB776D">
              <w:rPr>
                <w:sz w:val="16"/>
                <w:szCs w:val="16"/>
              </w:rPr>
              <w:t>Gre za povišan katabolizem in produkcijo VLDL.</w:t>
            </w:r>
          </w:p>
        </w:tc>
      </w:tr>
      <w:tr w:rsidR="00AB776D" w:rsidRPr="00AB776D">
        <w:tc>
          <w:tcPr>
            <w:tcW w:w="1980" w:type="dxa"/>
            <w:shd w:val="clear" w:color="auto" w:fill="E0E0E0"/>
            <w:vAlign w:val="center"/>
          </w:tcPr>
          <w:p w:rsidR="00AB776D" w:rsidRPr="00AB776D" w:rsidRDefault="00AB776D" w:rsidP="00AB776D">
            <w:pPr>
              <w:jc w:val="center"/>
              <w:rPr>
                <w:b/>
                <w:sz w:val="18"/>
                <w:szCs w:val="18"/>
              </w:rPr>
            </w:pPr>
            <w:r w:rsidRPr="00AB776D">
              <w:rPr>
                <w:b/>
                <w:sz w:val="18"/>
                <w:szCs w:val="18"/>
              </w:rPr>
              <w:t>Družinsko pomanjkanje lipoproteinske lipaze</w:t>
            </w:r>
          </w:p>
        </w:tc>
        <w:tc>
          <w:tcPr>
            <w:tcW w:w="1056" w:type="dxa"/>
            <w:vAlign w:val="center"/>
          </w:tcPr>
          <w:p w:rsidR="00AB776D" w:rsidRPr="00AB776D" w:rsidRDefault="00AB776D" w:rsidP="00AB776D">
            <w:pPr>
              <w:jc w:val="center"/>
              <w:rPr>
                <w:sz w:val="18"/>
                <w:szCs w:val="18"/>
              </w:rPr>
            </w:pPr>
            <w:r w:rsidRPr="00AB776D">
              <w:rPr>
                <w:sz w:val="18"/>
                <w:szCs w:val="18"/>
              </w:rPr>
              <w:t>I,V</w:t>
            </w:r>
          </w:p>
        </w:tc>
        <w:tc>
          <w:tcPr>
            <w:tcW w:w="1284" w:type="dxa"/>
            <w:vAlign w:val="center"/>
          </w:tcPr>
          <w:p w:rsidR="00AB776D" w:rsidRPr="00AB776D" w:rsidRDefault="00AB776D" w:rsidP="00AB776D">
            <w:pPr>
              <w:jc w:val="center"/>
              <w:rPr>
                <w:sz w:val="18"/>
                <w:szCs w:val="18"/>
              </w:rPr>
            </w:pPr>
            <w:r w:rsidRPr="00AB776D">
              <w:rPr>
                <w:sz w:val="18"/>
                <w:szCs w:val="18"/>
              </w:rPr>
              <w:t>avtosomno recesivno</w:t>
            </w:r>
          </w:p>
        </w:tc>
        <w:tc>
          <w:tcPr>
            <w:tcW w:w="1956" w:type="dxa"/>
            <w:vAlign w:val="center"/>
          </w:tcPr>
          <w:p w:rsidR="00AB776D" w:rsidRPr="00AB776D" w:rsidRDefault="00AB776D" w:rsidP="00AB776D">
            <w:pPr>
              <w:jc w:val="center"/>
              <w:rPr>
                <w:sz w:val="18"/>
                <w:szCs w:val="18"/>
              </w:rPr>
            </w:pPr>
            <w:r w:rsidRPr="00AB776D">
              <w:rPr>
                <w:sz w:val="18"/>
                <w:szCs w:val="18"/>
              </w:rPr>
              <w:t>TAG = &gt; 8,5 (&gt; 750)</w:t>
            </w:r>
          </w:p>
        </w:tc>
        <w:tc>
          <w:tcPr>
            <w:tcW w:w="1440" w:type="dxa"/>
            <w:vAlign w:val="center"/>
          </w:tcPr>
          <w:p w:rsidR="00AB776D" w:rsidRPr="00AB776D" w:rsidRDefault="00AB776D" w:rsidP="00AB776D">
            <w:pPr>
              <w:jc w:val="center"/>
              <w:rPr>
                <w:sz w:val="18"/>
                <w:szCs w:val="18"/>
              </w:rPr>
            </w:pPr>
            <w:r w:rsidRPr="00AB776D">
              <w:rPr>
                <w:sz w:val="18"/>
                <w:szCs w:val="18"/>
              </w:rPr>
              <w:t>HILOMIKRONI</w:t>
            </w:r>
          </w:p>
        </w:tc>
        <w:tc>
          <w:tcPr>
            <w:tcW w:w="2550" w:type="dxa"/>
            <w:vAlign w:val="center"/>
          </w:tcPr>
          <w:p w:rsidR="00AB776D" w:rsidRPr="00AB776D" w:rsidRDefault="00AB776D" w:rsidP="00AB776D">
            <w:pPr>
              <w:jc w:val="center"/>
              <w:rPr>
                <w:sz w:val="16"/>
                <w:szCs w:val="16"/>
              </w:rPr>
            </w:pPr>
            <w:r w:rsidRPr="00AB776D">
              <w:rPr>
                <w:sz w:val="16"/>
                <w:szCs w:val="16"/>
              </w:rPr>
              <w:t>Pomankanje ali okvara lipoproteinske lipaze, ki ima za posledico akumulacijo hilomikronov v plazmi.</w:t>
            </w:r>
          </w:p>
        </w:tc>
      </w:tr>
      <w:tr w:rsidR="00AB776D" w:rsidRPr="00AB776D">
        <w:tc>
          <w:tcPr>
            <w:tcW w:w="1980" w:type="dxa"/>
            <w:shd w:val="clear" w:color="auto" w:fill="E0E0E0"/>
            <w:vAlign w:val="center"/>
          </w:tcPr>
          <w:p w:rsidR="00AB776D" w:rsidRPr="00AB776D" w:rsidRDefault="00AB776D" w:rsidP="00AB776D">
            <w:pPr>
              <w:jc w:val="center"/>
              <w:rPr>
                <w:b/>
                <w:sz w:val="18"/>
                <w:szCs w:val="18"/>
              </w:rPr>
            </w:pPr>
            <w:r w:rsidRPr="00AB776D">
              <w:rPr>
                <w:b/>
                <w:sz w:val="18"/>
                <w:szCs w:val="18"/>
              </w:rPr>
              <w:t>Družinsko pomankanje apoproteina CII</w:t>
            </w:r>
          </w:p>
        </w:tc>
        <w:tc>
          <w:tcPr>
            <w:tcW w:w="1056" w:type="dxa"/>
            <w:vAlign w:val="center"/>
          </w:tcPr>
          <w:p w:rsidR="00AB776D" w:rsidRPr="00AB776D" w:rsidRDefault="00AB776D" w:rsidP="00AB776D">
            <w:pPr>
              <w:jc w:val="center"/>
              <w:rPr>
                <w:sz w:val="18"/>
                <w:szCs w:val="18"/>
              </w:rPr>
            </w:pPr>
            <w:r w:rsidRPr="00AB776D">
              <w:rPr>
                <w:sz w:val="18"/>
                <w:szCs w:val="18"/>
              </w:rPr>
              <w:t>I,V</w:t>
            </w:r>
          </w:p>
        </w:tc>
        <w:tc>
          <w:tcPr>
            <w:tcW w:w="1284" w:type="dxa"/>
            <w:vAlign w:val="center"/>
          </w:tcPr>
          <w:p w:rsidR="00AB776D" w:rsidRPr="00AB776D" w:rsidRDefault="00AB776D" w:rsidP="00AB776D">
            <w:pPr>
              <w:jc w:val="center"/>
              <w:rPr>
                <w:sz w:val="18"/>
                <w:szCs w:val="18"/>
              </w:rPr>
            </w:pPr>
            <w:r w:rsidRPr="00AB776D">
              <w:rPr>
                <w:sz w:val="18"/>
                <w:szCs w:val="18"/>
              </w:rPr>
              <w:t>avtosomno recesivno</w:t>
            </w:r>
          </w:p>
        </w:tc>
        <w:tc>
          <w:tcPr>
            <w:tcW w:w="1956" w:type="dxa"/>
            <w:vAlign w:val="center"/>
          </w:tcPr>
          <w:p w:rsidR="00AB776D" w:rsidRPr="00AB776D" w:rsidRDefault="00AB776D" w:rsidP="00AB776D">
            <w:pPr>
              <w:jc w:val="center"/>
              <w:rPr>
                <w:sz w:val="18"/>
                <w:szCs w:val="18"/>
              </w:rPr>
            </w:pPr>
            <w:r w:rsidRPr="00AB776D">
              <w:rPr>
                <w:sz w:val="18"/>
                <w:szCs w:val="18"/>
              </w:rPr>
              <w:t>TAG = &gt; 8,5 (&gt; 750)</w:t>
            </w:r>
          </w:p>
        </w:tc>
        <w:tc>
          <w:tcPr>
            <w:tcW w:w="1440" w:type="dxa"/>
            <w:vAlign w:val="center"/>
          </w:tcPr>
          <w:p w:rsidR="00AB776D" w:rsidRPr="00AB776D" w:rsidRDefault="00AB776D" w:rsidP="00AB776D">
            <w:pPr>
              <w:jc w:val="center"/>
              <w:rPr>
                <w:sz w:val="18"/>
                <w:szCs w:val="18"/>
              </w:rPr>
            </w:pPr>
            <w:r w:rsidRPr="00AB776D">
              <w:rPr>
                <w:sz w:val="18"/>
                <w:szCs w:val="18"/>
              </w:rPr>
              <w:t>HILOMIKRONI</w:t>
            </w:r>
          </w:p>
        </w:tc>
        <w:tc>
          <w:tcPr>
            <w:tcW w:w="2550" w:type="dxa"/>
            <w:vAlign w:val="center"/>
          </w:tcPr>
          <w:p w:rsidR="00AB776D" w:rsidRPr="00AB776D" w:rsidRDefault="00AB776D" w:rsidP="00AB776D">
            <w:pPr>
              <w:jc w:val="center"/>
              <w:rPr>
                <w:sz w:val="16"/>
                <w:szCs w:val="16"/>
              </w:rPr>
            </w:pPr>
            <w:r w:rsidRPr="00AB776D">
              <w:rPr>
                <w:sz w:val="16"/>
                <w:szCs w:val="16"/>
              </w:rPr>
              <w:t>Okvari hidrolizo hilomikronov in VLDL, kar povzroči kopičenje v krvi.</w:t>
            </w:r>
          </w:p>
        </w:tc>
      </w:tr>
      <w:tr w:rsidR="00AB776D" w:rsidRPr="00AB776D">
        <w:tc>
          <w:tcPr>
            <w:tcW w:w="1980" w:type="dxa"/>
            <w:shd w:val="clear" w:color="auto" w:fill="C0C0C0"/>
            <w:vAlign w:val="center"/>
          </w:tcPr>
          <w:p w:rsidR="00AB776D" w:rsidRPr="00AB776D" w:rsidRDefault="00AB776D" w:rsidP="00AB776D">
            <w:pPr>
              <w:jc w:val="center"/>
              <w:rPr>
                <w:b/>
                <w:sz w:val="18"/>
                <w:szCs w:val="18"/>
              </w:rPr>
            </w:pPr>
            <w:r w:rsidRPr="00AB776D">
              <w:rPr>
                <w:b/>
                <w:sz w:val="18"/>
                <w:szCs w:val="18"/>
              </w:rPr>
              <w:t>Družinska kombinirana hiperlipidemija</w:t>
            </w:r>
          </w:p>
        </w:tc>
        <w:tc>
          <w:tcPr>
            <w:tcW w:w="1056" w:type="dxa"/>
            <w:vAlign w:val="center"/>
          </w:tcPr>
          <w:p w:rsidR="00AB776D" w:rsidRPr="00AB776D" w:rsidRDefault="00AB776D" w:rsidP="00AB776D">
            <w:pPr>
              <w:jc w:val="center"/>
              <w:rPr>
                <w:sz w:val="18"/>
                <w:szCs w:val="18"/>
              </w:rPr>
            </w:pPr>
            <w:r w:rsidRPr="00AB776D">
              <w:rPr>
                <w:sz w:val="18"/>
                <w:szCs w:val="18"/>
              </w:rPr>
              <w:t>IIb</w:t>
            </w:r>
          </w:p>
        </w:tc>
        <w:tc>
          <w:tcPr>
            <w:tcW w:w="1284" w:type="dxa"/>
            <w:vAlign w:val="center"/>
          </w:tcPr>
          <w:p w:rsidR="00AB776D" w:rsidRPr="00AB776D" w:rsidRDefault="00AB776D" w:rsidP="00AB776D">
            <w:pPr>
              <w:jc w:val="center"/>
              <w:rPr>
                <w:sz w:val="18"/>
                <w:szCs w:val="18"/>
              </w:rPr>
            </w:pPr>
            <w:r w:rsidRPr="00AB776D">
              <w:rPr>
                <w:sz w:val="18"/>
                <w:szCs w:val="18"/>
              </w:rPr>
              <w:t>avtosomno dominantna</w:t>
            </w:r>
          </w:p>
        </w:tc>
        <w:tc>
          <w:tcPr>
            <w:tcW w:w="1956" w:type="dxa"/>
            <w:vAlign w:val="center"/>
          </w:tcPr>
          <w:p w:rsidR="00AB776D" w:rsidRPr="00AB776D" w:rsidRDefault="00AB776D" w:rsidP="00AB776D">
            <w:pPr>
              <w:jc w:val="center"/>
              <w:rPr>
                <w:sz w:val="18"/>
                <w:szCs w:val="18"/>
              </w:rPr>
            </w:pPr>
            <w:r w:rsidRPr="00AB776D">
              <w:rPr>
                <w:sz w:val="18"/>
                <w:szCs w:val="18"/>
              </w:rPr>
              <w:t>TAG = 2,8-8,5 (250-750)</w:t>
            </w:r>
          </w:p>
          <w:p w:rsidR="00AB776D" w:rsidRPr="00AB776D" w:rsidRDefault="00AB776D" w:rsidP="00AB776D">
            <w:pPr>
              <w:jc w:val="center"/>
              <w:rPr>
                <w:sz w:val="18"/>
                <w:szCs w:val="18"/>
              </w:rPr>
            </w:pPr>
            <w:r w:rsidRPr="00AB776D">
              <w:rPr>
                <w:sz w:val="18"/>
                <w:szCs w:val="18"/>
              </w:rPr>
              <w:t>H = 6,5-13 (250-500)</w:t>
            </w:r>
          </w:p>
        </w:tc>
        <w:tc>
          <w:tcPr>
            <w:tcW w:w="1440" w:type="dxa"/>
            <w:vAlign w:val="center"/>
          </w:tcPr>
          <w:p w:rsidR="00AB776D" w:rsidRPr="00AB776D" w:rsidRDefault="00AB776D" w:rsidP="00AB776D">
            <w:pPr>
              <w:jc w:val="center"/>
              <w:rPr>
                <w:sz w:val="18"/>
                <w:szCs w:val="18"/>
              </w:rPr>
            </w:pPr>
            <w:r w:rsidRPr="00AB776D">
              <w:rPr>
                <w:sz w:val="18"/>
                <w:szCs w:val="18"/>
              </w:rPr>
              <w:t>VLDL, LDL</w:t>
            </w:r>
          </w:p>
        </w:tc>
        <w:tc>
          <w:tcPr>
            <w:tcW w:w="2550" w:type="dxa"/>
            <w:vAlign w:val="center"/>
          </w:tcPr>
          <w:p w:rsidR="00AB776D" w:rsidRPr="00AB776D" w:rsidRDefault="00AB776D" w:rsidP="00AB776D">
            <w:pPr>
              <w:jc w:val="center"/>
              <w:rPr>
                <w:sz w:val="16"/>
                <w:szCs w:val="16"/>
              </w:rPr>
            </w:pPr>
            <w:r w:rsidRPr="00AB776D">
              <w:rPr>
                <w:sz w:val="16"/>
                <w:szCs w:val="16"/>
              </w:rPr>
              <w:t>Povezana je z sekrecijo VLDL partiklov. Zaradi tesne povezave med metabolizmom VLDL in LDL, je okvara v enem od sistemov lahko dovolj za razvoj bolezni.</w:t>
            </w:r>
          </w:p>
        </w:tc>
      </w:tr>
      <w:tr w:rsidR="00AB776D" w:rsidRPr="00AB776D">
        <w:tc>
          <w:tcPr>
            <w:tcW w:w="1980" w:type="dxa"/>
            <w:shd w:val="clear" w:color="auto" w:fill="C0C0C0"/>
            <w:vAlign w:val="center"/>
          </w:tcPr>
          <w:p w:rsidR="00AB776D" w:rsidRPr="00AB776D" w:rsidRDefault="00AB776D" w:rsidP="00AB776D">
            <w:pPr>
              <w:jc w:val="center"/>
              <w:rPr>
                <w:b/>
                <w:sz w:val="18"/>
                <w:szCs w:val="18"/>
              </w:rPr>
            </w:pPr>
            <w:r w:rsidRPr="00AB776D">
              <w:rPr>
                <w:b/>
                <w:sz w:val="18"/>
                <w:szCs w:val="18"/>
              </w:rPr>
              <w:t>Disbetalipoproteinemija</w:t>
            </w:r>
          </w:p>
        </w:tc>
        <w:tc>
          <w:tcPr>
            <w:tcW w:w="1056" w:type="dxa"/>
            <w:vAlign w:val="center"/>
          </w:tcPr>
          <w:p w:rsidR="00AB776D" w:rsidRPr="00AB776D" w:rsidRDefault="00AB776D" w:rsidP="00AB776D">
            <w:pPr>
              <w:jc w:val="center"/>
              <w:rPr>
                <w:sz w:val="18"/>
                <w:szCs w:val="18"/>
              </w:rPr>
            </w:pPr>
            <w:r w:rsidRPr="00AB776D">
              <w:rPr>
                <w:sz w:val="18"/>
                <w:szCs w:val="18"/>
              </w:rPr>
              <w:t>III</w:t>
            </w:r>
          </w:p>
        </w:tc>
        <w:tc>
          <w:tcPr>
            <w:tcW w:w="1284" w:type="dxa"/>
            <w:vAlign w:val="center"/>
          </w:tcPr>
          <w:p w:rsidR="00AB776D" w:rsidRPr="00AB776D" w:rsidRDefault="00AB776D" w:rsidP="00AB776D">
            <w:pPr>
              <w:jc w:val="center"/>
              <w:rPr>
                <w:sz w:val="18"/>
                <w:szCs w:val="18"/>
              </w:rPr>
            </w:pPr>
            <w:r w:rsidRPr="00AB776D">
              <w:rPr>
                <w:sz w:val="18"/>
                <w:szCs w:val="18"/>
              </w:rPr>
              <w:t>homozigotnost za apo e2</w:t>
            </w:r>
          </w:p>
        </w:tc>
        <w:tc>
          <w:tcPr>
            <w:tcW w:w="1956" w:type="dxa"/>
            <w:vAlign w:val="center"/>
          </w:tcPr>
          <w:p w:rsidR="00AB776D" w:rsidRPr="00AB776D" w:rsidRDefault="00AB776D" w:rsidP="00AB776D">
            <w:pPr>
              <w:jc w:val="center"/>
              <w:rPr>
                <w:sz w:val="18"/>
                <w:szCs w:val="18"/>
              </w:rPr>
            </w:pPr>
            <w:r w:rsidRPr="00AB776D">
              <w:rPr>
                <w:sz w:val="18"/>
                <w:szCs w:val="18"/>
              </w:rPr>
              <w:t>TAG = 2,8-5,6 (250-500)</w:t>
            </w:r>
          </w:p>
          <w:p w:rsidR="00AB776D" w:rsidRPr="00AB776D" w:rsidRDefault="00AB776D" w:rsidP="00AB776D">
            <w:pPr>
              <w:jc w:val="center"/>
              <w:rPr>
                <w:sz w:val="18"/>
                <w:szCs w:val="18"/>
              </w:rPr>
            </w:pPr>
            <w:r w:rsidRPr="00AB776D">
              <w:rPr>
                <w:sz w:val="18"/>
                <w:szCs w:val="18"/>
              </w:rPr>
              <w:t>H = 6,5-13 (250-500)</w:t>
            </w:r>
          </w:p>
        </w:tc>
        <w:tc>
          <w:tcPr>
            <w:tcW w:w="1440" w:type="dxa"/>
            <w:vAlign w:val="center"/>
          </w:tcPr>
          <w:p w:rsidR="00AB776D" w:rsidRPr="00AB776D" w:rsidRDefault="00AB776D" w:rsidP="00AB776D">
            <w:pPr>
              <w:jc w:val="center"/>
              <w:rPr>
                <w:sz w:val="18"/>
                <w:szCs w:val="18"/>
              </w:rPr>
            </w:pPr>
            <w:r w:rsidRPr="00AB776D">
              <w:rPr>
                <w:sz w:val="18"/>
                <w:szCs w:val="18"/>
              </w:rPr>
              <w:t>VLDL, IDL</w:t>
            </w:r>
          </w:p>
        </w:tc>
        <w:tc>
          <w:tcPr>
            <w:tcW w:w="2550" w:type="dxa"/>
            <w:vAlign w:val="center"/>
          </w:tcPr>
          <w:p w:rsidR="00AB776D" w:rsidRPr="00AB776D" w:rsidRDefault="00AB776D" w:rsidP="00AB776D">
            <w:pPr>
              <w:jc w:val="center"/>
              <w:rPr>
                <w:sz w:val="16"/>
                <w:szCs w:val="16"/>
              </w:rPr>
            </w:pPr>
            <w:r w:rsidRPr="00AB776D">
              <w:rPr>
                <w:sz w:val="16"/>
                <w:szCs w:val="16"/>
              </w:rPr>
              <w:t>Apo E2 je oblika proteina apo E z najslabšo vezavno afiniteto. Ta ima zelo pomembno vlogo pri katabolizmu hilomikronov in VLDL ostankov, ki vsebujejo holesterol.</w:t>
            </w:r>
          </w:p>
        </w:tc>
      </w:tr>
    </w:tbl>
    <w:p w:rsidR="003D6523" w:rsidRPr="00AB776D" w:rsidRDefault="003D6523">
      <w:pPr>
        <w:rPr>
          <w:sz w:val="18"/>
          <w:szCs w:val="18"/>
        </w:rPr>
      </w:pPr>
    </w:p>
    <w:p w:rsidR="00AB776D" w:rsidRPr="00AB776D" w:rsidRDefault="003D6523">
      <w:pPr>
        <w:tabs>
          <w:tab w:val="left" w:pos="5426"/>
        </w:tabs>
        <w:rPr>
          <w:rFonts w:ascii="Arial Black" w:hAnsi="Arial Black"/>
          <w:b/>
          <w:color w:val="800080"/>
        </w:rPr>
      </w:pPr>
      <w:r w:rsidRPr="00AB776D">
        <w:rPr>
          <w:rFonts w:ascii="Arial Black" w:hAnsi="Arial Black"/>
          <w:b/>
          <w:color w:val="800080"/>
        </w:rPr>
        <w:t>SEKUNDARNI VZROKI HIPERLIPOPROTEINEMIJ</w:t>
      </w:r>
    </w:p>
    <w:p w:rsidR="003D6523" w:rsidRPr="00AB776D" w:rsidRDefault="003D6523">
      <w:pPr>
        <w:tabs>
          <w:tab w:val="left" w:pos="5426"/>
        </w:tabs>
        <w:rPr>
          <w:rFonts w:ascii="Times New Roman" w:hAnsi="Times New Roman"/>
          <w:sz w:val="24"/>
          <w:szCs w:val="24"/>
        </w:rPr>
      </w:pPr>
      <w:r w:rsidRPr="00AB776D">
        <w:rPr>
          <w:rFonts w:ascii="Times New Roman" w:hAnsi="Times New Roman"/>
          <w:sz w:val="24"/>
          <w:szCs w:val="24"/>
        </w:rPr>
        <w:t>O sekundarnih hiperlipoproteinemijah govorimo, kadar so vzrok za povišane vrednosti lipoproteinov posledica motenj v drugih sistemih, ki posredno vplivajo na metabolizem lipoproteinov.</w:t>
      </w:r>
    </w:p>
    <w:p w:rsidR="003D6523" w:rsidRDefault="003D6523">
      <w:pPr>
        <w:tabs>
          <w:tab w:val="left" w:pos="542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770"/>
        <w:gridCol w:w="1788"/>
      </w:tblGrid>
      <w:tr w:rsidR="003D6523">
        <w:tc>
          <w:tcPr>
            <w:tcW w:w="1728" w:type="dxa"/>
            <w:tcBorders>
              <w:bottom w:val="double" w:sz="4" w:space="0" w:color="auto"/>
            </w:tcBorders>
            <w:vAlign w:val="center"/>
          </w:tcPr>
          <w:p w:rsidR="003D6523" w:rsidRDefault="003D6523">
            <w:pPr>
              <w:tabs>
                <w:tab w:val="left" w:pos="5426"/>
              </w:tabs>
              <w:jc w:val="center"/>
              <w:rPr>
                <w:b/>
                <w:sz w:val="20"/>
              </w:rPr>
            </w:pPr>
            <w:r>
              <w:rPr>
                <w:b/>
                <w:sz w:val="20"/>
              </w:rPr>
              <w:t>DEJAVNIK</w:t>
            </w:r>
          </w:p>
        </w:tc>
        <w:tc>
          <w:tcPr>
            <w:tcW w:w="5770" w:type="dxa"/>
            <w:tcBorders>
              <w:bottom w:val="double" w:sz="4" w:space="0" w:color="auto"/>
            </w:tcBorders>
            <w:vAlign w:val="center"/>
          </w:tcPr>
          <w:p w:rsidR="003D6523" w:rsidRDefault="003D6523">
            <w:pPr>
              <w:tabs>
                <w:tab w:val="left" w:pos="5426"/>
              </w:tabs>
              <w:jc w:val="center"/>
              <w:rPr>
                <w:b/>
                <w:sz w:val="20"/>
              </w:rPr>
            </w:pPr>
            <w:r>
              <w:rPr>
                <w:b/>
                <w:sz w:val="20"/>
              </w:rPr>
              <w:t>MEHANIZEM</w:t>
            </w:r>
          </w:p>
        </w:tc>
        <w:tc>
          <w:tcPr>
            <w:tcW w:w="1788" w:type="dxa"/>
            <w:tcBorders>
              <w:bottom w:val="double" w:sz="4" w:space="0" w:color="auto"/>
            </w:tcBorders>
            <w:vAlign w:val="center"/>
          </w:tcPr>
          <w:p w:rsidR="003D6523" w:rsidRDefault="003D6523">
            <w:pPr>
              <w:tabs>
                <w:tab w:val="left" w:pos="5426"/>
              </w:tabs>
              <w:jc w:val="center"/>
              <w:rPr>
                <w:b/>
                <w:sz w:val="20"/>
              </w:rPr>
            </w:pPr>
            <w:r>
              <w:rPr>
                <w:b/>
                <w:sz w:val="20"/>
              </w:rPr>
              <w:t>SPREMEMBA V KONC. LIPIDOV</w:t>
            </w:r>
          </w:p>
        </w:tc>
      </w:tr>
      <w:tr w:rsidR="003D6523">
        <w:tc>
          <w:tcPr>
            <w:tcW w:w="1728" w:type="dxa"/>
            <w:tcBorders>
              <w:top w:val="double" w:sz="4" w:space="0" w:color="auto"/>
            </w:tcBorders>
            <w:vAlign w:val="center"/>
          </w:tcPr>
          <w:p w:rsidR="003D6523" w:rsidRDefault="003D6523">
            <w:pPr>
              <w:jc w:val="center"/>
              <w:rPr>
                <w:b/>
                <w:sz w:val="20"/>
              </w:rPr>
            </w:pPr>
            <w:r>
              <w:rPr>
                <w:b/>
                <w:sz w:val="20"/>
              </w:rPr>
              <w:t>Diabetes</w:t>
            </w:r>
          </w:p>
          <w:p w:rsidR="003D6523" w:rsidRDefault="003D6523">
            <w:pPr>
              <w:jc w:val="center"/>
              <w:rPr>
                <w:b/>
                <w:sz w:val="20"/>
              </w:rPr>
            </w:pPr>
          </w:p>
        </w:tc>
        <w:tc>
          <w:tcPr>
            <w:tcW w:w="5770" w:type="dxa"/>
            <w:tcBorders>
              <w:top w:val="double" w:sz="4" w:space="0" w:color="auto"/>
            </w:tcBorders>
            <w:vAlign w:val="center"/>
          </w:tcPr>
          <w:p w:rsidR="003D6523" w:rsidRDefault="003D6523">
            <w:pPr>
              <w:rPr>
                <w:sz w:val="20"/>
              </w:rPr>
            </w:pPr>
            <w:r>
              <w:rPr>
                <w:sz w:val="20"/>
              </w:rPr>
              <w:t>Lahko prizadene metabolizem lipidov in lipoproteinov na različne načine. Pri diabetesu tipa I ketoacidoza povzroči hipertrigliceridemijo kot posledico dviga VLDL in hilomikronov. Pri diabetesu tipa II odpornost na insulin in debelost povzročita hipertrigliceridemijo in nizko raven HDL.</w:t>
            </w:r>
          </w:p>
        </w:tc>
        <w:tc>
          <w:tcPr>
            <w:tcW w:w="1788" w:type="dxa"/>
            <w:tcBorders>
              <w:top w:val="double" w:sz="4" w:space="0" w:color="auto"/>
            </w:tcBorders>
            <w:vAlign w:val="center"/>
          </w:tcPr>
          <w:p w:rsidR="003D6523" w:rsidRDefault="003D6523">
            <w:pPr>
              <w:jc w:val="center"/>
              <w:rPr>
                <w:sz w:val="20"/>
              </w:rPr>
            </w:pPr>
          </w:p>
          <w:p w:rsidR="003D6523" w:rsidRDefault="003D6523">
            <w:pPr>
              <w:jc w:val="center"/>
              <w:rPr>
                <w:sz w:val="20"/>
              </w:rPr>
            </w:pPr>
            <w:r>
              <w:rPr>
                <w:sz w:val="20"/>
              </w:rPr>
              <w:t>↑ VLDL</w:t>
            </w:r>
          </w:p>
          <w:p w:rsidR="003D6523" w:rsidRDefault="003D6523">
            <w:pPr>
              <w:jc w:val="center"/>
              <w:rPr>
                <w:sz w:val="20"/>
              </w:rPr>
            </w:pPr>
            <w:r>
              <w:rPr>
                <w:sz w:val="20"/>
              </w:rPr>
              <w:t>↑ HILOMIKRONI</w:t>
            </w:r>
          </w:p>
        </w:tc>
      </w:tr>
      <w:tr w:rsidR="003D6523">
        <w:tc>
          <w:tcPr>
            <w:tcW w:w="1728" w:type="dxa"/>
            <w:vAlign w:val="center"/>
          </w:tcPr>
          <w:p w:rsidR="003D6523" w:rsidRDefault="003D6523">
            <w:pPr>
              <w:jc w:val="center"/>
              <w:rPr>
                <w:b/>
                <w:sz w:val="20"/>
              </w:rPr>
            </w:pPr>
            <w:r>
              <w:rPr>
                <w:b/>
                <w:sz w:val="20"/>
              </w:rPr>
              <w:t>Hipotireoza</w:t>
            </w:r>
          </w:p>
        </w:tc>
        <w:tc>
          <w:tcPr>
            <w:tcW w:w="5770" w:type="dxa"/>
            <w:vAlign w:val="center"/>
          </w:tcPr>
          <w:p w:rsidR="003D6523" w:rsidRDefault="003D6523">
            <w:pPr>
              <w:rPr>
                <w:sz w:val="20"/>
              </w:rPr>
            </w:pPr>
            <w:r>
              <w:rPr>
                <w:sz w:val="20"/>
              </w:rPr>
              <w:t>Je drugi najpomembnejši vzrok sekundarnih hiperlipidemij.</w:t>
            </w:r>
          </w:p>
        </w:tc>
        <w:tc>
          <w:tcPr>
            <w:tcW w:w="1788" w:type="dxa"/>
            <w:vAlign w:val="center"/>
          </w:tcPr>
          <w:p w:rsidR="003D6523" w:rsidRDefault="003D6523">
            <w:pPr>
              <w:jc w:val="center"/>
              <w:rPr>
                <w:sz w:val="20"/>
              </w:rPr>
            </w:pPr>
            <w:r>
              <w:rPr>
                <w:sz w:val="20"/>
              </w:rPr>
              <w:t>↑ VLDL</w:t>
            </w:r>
          </w:p>
          <w:p w:rsidR="003D6523" w:rsidRDefault="003D6523">
            <w:pPr>
              <w:jc w:val="center"/>
              <w:rPr>
                <w:sz w:val="20"/>
              </w:rPr>
            </w:pPr>
            <w:r>
              <w:rPr>
                <w:sz w:val="20"/>
              </w:rPr>
              <w:t>↑ LDL</w:t>
            </w:r>
          </w:p>
        </w:tc>
      </w:tr>
      <w:tr w:rsidR="003D6523">
        <w:tc>
          <w:tcPr>
            <w:tcW w:w="1728" w:type="dxa"/>
            <w:vAlign w:val="center"/>
          </w:tcPr>
          <w:p w:rsidR="003D6523" w:rsidRDefault="003D6523">
            <w:pPr>
              <w:jc w:val="center"/>
              <w:rPr>
                <w:b/>
                <w:sz w:val="20"/>
              </w:rPr>
            </w:pPr>
            <w:r>
              <w:rPr>
                <w:b/>
                <w:sz w:val="20"/>
              </w:rPr>
              <w:t>Okvara ledvic</w:t>
            </w:r>
          </w:p>
        </w:tc>
        <w:tc>
          <w:tcPr>
            <w:tcW w:w="5770" w:type="dxa"/>
            <w:vAlign w:val="center"/>
          </w:tcPr>
          <w:p w:rsidR="003D6523" w:rsidRDefault="003D6523">
            <w:pPr>
              <w:rPr>
                <w:sz w:val="20"/>
              </w:rPr>
            </w:pPr>
            <w:r>
              <w:rPr>
                <w:sz w:val="20"/>
              </w:rPr>
              <w:t xml:space="preserve">Lahko povzroči vrsto lipidnih abnormalnosti. </w:t>
            </w:r>
            <w:r>
              <w:rPr>
                <w:b/>
                <w:sz w:val="20"/>
              </w:rPr>
              <w:t xml:space="preserve">Nefrotski sindrom </w:t>
            </w:r>
            <w:r>
              <w:rPr>
                <w:sz w:val="20"/>
              </w:rPr>
              <w:t>lahko spremlja povišanje v LDL in VLDL; resnost hiperlipidemije pa je v povezavi z stopnjo hipoproteinemije.</w:t>
            </w:r>
          </w:p>
        </w:tc>
        <w:tc>
          <w:tcPr>
            <w:tcW w:w="1788" w:type="dxa"/>
            <w:vAlign w:val="center"/>
          </w:tcPr>
          <w:p w:rsidR="003D6523" w:rsidRDefault="003D6523">
            <w:pPr>
              <w:jc w:val="center"/>
              <w:rPr>
                <w:sz w:val="20"/>
              </w:rPr>
            </w:pPr>
            <w:r>
              <w:rPr>
                <w:sz w:val="20"/>
              </w:rPr>
              <w:t>↑ VLDL</w:t>
            </w:r>
          </w:p>
          <w:p w:rsidR="003D6523" w:rsidRDefault="003D6523">
            <w:pPr>
              <w:jc w:val="center"/>
              <w:rPr>
                <w:sz w:val="20"/>
              </w:rPr>
            </w:pPr>
            <w:r>
              <w:rPr>
                <w:sz w:val="20"/>
              </w:rPr>
              <w:t>↑ LDL</w:t>
            </w:r>
          </w:p>
        </w:tc>
      </w:tr>
      <w:tr w:rsidR="003D6523">
        <w:tc>
          <w:tcPr>
            <w:tcW w:w="1728" w:type="dxa"/>
            <w:vAlign w:val="center"/>
          </w:tcPr>
          <w:p w:rsidR="003D6523" w:rsidRDefault="003D6523">
            <w:pPr>
              <w:jc w:val="center"/>
              <w:rPr>
                <w:b/>
                <w:sz w:val="20"/>
              </w:rPr>
            </w:pPr>
            <w:r>
              <w:rPr>
                <w:b/>
                <w:sz w:val="20"/>
              </w:rPr>
              <w:t>Etanol</w:t>
            </w:r>
          </w:p>
        </w:tc>
        <w:tc>
          <w:tcPr>
            <w:tcW w:w="5770" w:type="dxa"/>
            <w:vAlign w:val="center"/>
          </w:tcPr>
          <w:p w:rsidR="003D6523" w:rsidRDefault="003D6523">
            <w:pPr>
              <w:rPr>
                <w:sz w:val="20"/>
              </w:rPr>
            </w:pPr>
            <w:r>
              <w:rPr>
                <w:sz w:val="20"/>
              </w:rPr>
              <w:t>Povišan nivo NADH v jetrih stimulira sintezo maščobnih kislin in njihovo vgraditev v trigliceride.</w:t>
            </w:r>
          </w:p>
        </w:tc>
        <w:tc>
          <w:tcPr>
            <w:tcW w:w="1788" w:type="dxa"/>
            <w:vAlign w:val="center"/>
          </w:tcPr>
          <w:p w:rsidR="003D6523" w:rsidRDefault="003D6523">
            <w:pPr>
              <w:jc w:val="center"/>
              <w:rPr>
                <w:sz w:val="20"/>
              </w:rPr>
            </w:pPr>
            <w:r>
              <w:rPr>
                <w:sz w:val="20"/>
              </w:rPr>
              <w:t>↑ VLDL</w:t>
            </w:r>
          </w:p>
          <w:p w:rsidR="003D6523" w:rsidRDefault="003D6523">
            <w:pPr>
              <w:jc w:val="center"/>
              <w:rPr>
                <w:sz w:val="20"/>
              </w:rPr>
            </w:pPr>
            <w:r>
              <w:rPr>
                <w:sz w:val="20"/>
              </w:rPr>
              <w:t>↑ HILOMIKRONI</w:t>
            </w:r>
          </w:p>
        </w:tc>
      </w:tr>
      <w:tr w:rsidR="003D6523">
        <w:tc>
          <w:tcPr>
            <w:tcW w:w="1728" w:type="dxa"/>
            <w:vAlign w:val="center"/>
          </w:tcPr>
          <w:p w:rsidR="003D6523" w:rsidRDefault="003D6523">
            <w:pPr>
              <w:jc w:val="center"/>
              <w:rPr>
                <w:b/>
                <w:sz w:val="20"/>
              </w:rPr>
            </w:pPr>
            <w:r>
              <w:rPr>
                <w:b/>
                <w:sz w:val="20"/>
              </w:rPr>
              <w:t>Vnos nenasičenih maščob in holesterola</w:t>
            </w:r>
          </w:p>
        </w:tc>
        <w:tc>
          <w:tcPr>
            <w:tcW w:w="5770" w:type="dxa"/>
            <w:vAlign w:val="center"/>
          </w:tcPr>
          <w:p w:rsidR="003D6523" w:rsidRDefault="003D6523">
            <w:pPr>
              <w:rPr>
                <w:sz w:val="20"/>
              </w:rPr>
            </w:pPr>
            <w:r>
              <w:rPr>
                <w:sz w:val="20"/>
              </w:rPr>
              <w:t>Zmanjšana sinteza LDL receptorjev na hepatocitih, zaradi nasičenosti z maščobami.</w:t>
            </w:r>
          </w:p>
        </w:tc>
        <w:tc>
          <w:tcPr>
            <w:tcW w:w="1788" w:type="dxa"/>
            <w:vAlign w:val="center"/>
          </w:tcPr>
          <w:p w:rsidR="003D6523" w:rsidRDefault="003D6523">
            <w:pPr>
              <w:jc w:val="center"/>
              <w:rPr>
                <w:sz w:val="20"/>
              </w:rPr>
            </w:pPr>
            <w:r>
              <w:rPr>
                <w:sz w:val="20"/>
              </w:rPr>
              <w:t>↑ TAG</w:t>
            </w:r>
          </w:p>
          <w:p w:rsidR="003D6523" w:rsidRDefault="003D6523">
            <w:pPr>
              <w:jc w:val="center"/>
              <w:rPr>
                <w:sz w:val="20"/>
              </w:rPr>
            </w:pPr>
            <w:r>
              <w:rPr>
                <w:sz w:val="20"/>
              </w:rPr>
              <w:t>↑ H</w:t>
            </w:r>
          </w:p>
        </w:tc>
      </w:tr>
      <w:tr w:rsidR="003D6523">
        <w:tc>
          <w:tcPr>
            <w:tcW w:w="1728" w:type="dxa"/>
            <w:vAlign w:val="center"/>
          </w:tcPr>
          <w:p w:rsidR="003D6523" w:rsidRDefault="003D6523">
            <w:pPr>
              <w:jc w:val="center"/>
              <w:rPr>
                <w:b/>
                <w:sz w:val="20"/>
              </w:rPr>
            </w:pPr>
            <w:r>
              <w:rPr>
                <w:b/>
                <w:sz w:val="20"/>
              </w:rPr>
              <w:t>Stres</w:t>
            </w:r>
          </w:p>
        </w:tc>
        <w:tc>
          <w:tcPr>
            <w:tcW w:w="5770" w:type="dxa"/>
            <w:vAlign w:val="center"/>
          </w:tcPr>
          <w:p w:rsidR="003D6523" w:rsidRDefault="003D6523">
            <w:pPr>
              <w:rPr>
                <w:sz w:val="20"/>
              </w:rPr>
            </w:pPr>
            <w:r>
              <w:rPr>
                <w:sz w:val="20"/>
              </w:rPr>
              <w:t>Povečana lipoliza (vpliv kateholaminov, glukagona, ACTH)</w:t>
            </w:r>
          </w:p>
        </w:tc>
        <w:tc>
          <w:tcPr>
            <w:tcW w:w="1788" w:type="dxa"/>
            <w:vAlign w:val="center"/>
          </w:tcPr>
          <w:p w:rsidR="003D6523" w:rsidRDefault="003D6523">
            <w:pPr>
              <w:jc w:val="center"/>
              <w:rPr>
                <w:sz w:val="20"/>
              </w:rPr>
            </w:pPr>
            <w:r>
              <w:rPr>
                <w:sz w:val="20"/>
              </w:rPr>
              <w:t>↑ VLDL</w:t>
            </w:r>
          </w:p>
        </w:tc>
      </w:tr>
      <w:tr w:rsidR="003D6523">
        <w:tc>
          <w:tcPr>
            <w:tcW w:w="1728" w:type="dxa"/>
            <w:vAlign w:val="center"/>
          </w:tcPr>
          <w:p w:rsidR="003D6523" w:rsidRDefault="003D6523">
            <w:pPr>
              <w:jc w:val="center"/>
              <w:rPr>
                <w:b/>
                <w:sz w:val="20"/>
              </w:rPr>
            </w:pPr>
            <w:r>
              <w:rPr>
                <w:b/>
                <w:sz w:val="20"/>
              </w:rPr>
              <w:t>Telesna aktivnost</w:t>
            </w:r>
          </w:p>
        </w:tc>
        <w:tc>
          <w:tcPr>
            <w:tcW w:w="5770" w:type="dxa"/>
            <w:vAlign w:val="center"/>
          </w:tcPr>
          <w:p w:rsidR="003D6523" w:rsidRDefault="003D6523">
            <w:pPr>
              <w:rPr>
                <w:sz w:val="20"/>
              </w:rPr>
            </w:pPr>
            <w:r>
              <w:rPr>
                <w:sz w:val="20"/>
              </w:rPr>
              <w:t>Povečano delovanje lipoproteinske lipaze.</w:t>
            </w:r>
          </w:p>
        </w:tc>
        <w:tc>
          <w:tcPr>
            <w:tcW w:w="1788" w:type="dxa"/>
            <w:vAlign w:val="center"/>
          </w:tcPr>
          <w:p w:rsidR="003D6523" w:rsidRDefault="003D6523">
            <w:pPr>
              <w:jc w:val="center"/>
              <w:rPr>
                <w:sz w:val="20"/>
              </w:rPr>
            </w:pPr>
            <w:r>
              <w:rPr>
                <w:sz w:val="20"/>
              </w:rPr>
              <w:t>↑ HDL</w:t>
            </w:r>
          </w:p>
        </w:tc>
      </w:tr>
      <w:tr w:rsidR="003D6523">
        <w:tc>
          <w:tcPr>
            <w:tcW w:w="1728" w:type="dxa"/>
            <w:vAlign w:val="center"/>
          </w:tcPr>
          <w:p w:rsidR="003D6523" w:rsidRDefault="003D6523">
            <w:pPr>
              <w:jc w:val="center"/>
              <w:rPr>
                <w:b/>
                <w:sz w:val="20"/>
              </w:rPr>
            </w:pPr>
            <w:r>
              <w:rPr>
                <w:b/>
                <w:sz w:val="20"/>
              </w:rPr>
              <w:t>Nosečnost ali  estrogeni</w:t>
            </w:r>
          </w:p>
        </w:tc>
        <w:tc>
          <w:tcPr>
            <w:tcW w:w="5770" w:type="dxa"/>
            <w:vAlign w:val="center"/>
          </w:tcPr>
          <w:p w:rsidR="003D6523" w:rsidRDefault="003D6523">
            <w:pPr>
              <w:rPr>
                <w:sz w:val="20"/>
              </w:rPr>
            </w:pPr>
            <w:r>
              <w:rPr>
                <w:sz w:val="20"/>
              </w:rPr>
              <w:t>Povišana raven estrogena.</w:t>
            </w:r>
          </w:p>
        </w:tc>
        <w:tc>
          <w:tcPr>
            <w:tcW w:w="1788" w:type="dxa"/>
            <w:vAlign w:val="center"/>
          </w:tcPr>
          <w:p w:rsidR="003D6523" w:rsidRDefault="003D6523">
            <w:pPr>
              <w:jc w:val="center"/>
              <w:rPr>
                <w:sz w:val="20"/>
              </w:rPr>
            </w:pPr>
            <w:r>
              <w:rPr>
                <w:sz w:val="20"/>
              </w:rPr>
              <w:t>↑ VLDL</w:t>
            </w:r>
          </w:p>
          <w:p w:rsidR="003D6523" w:rsidRDefault="003D6523">
            <w:pPr>
              <w:jc w:val="center"/>
              <w:rPr>
                <w:sz w:val="20"/>
              </w:rPr>
            </w:pPr>
            <w:r>
              <w:rPr>
                <w:sz w:val="20"/>
              </w:rPr>
              <w:t>↑ LDL</w:t>
            </w:r>
          </w:p>
          <w:p w:rsidR="003D6523" w:rsidRDefault="003D6523">
            <w:pPr>
              <w:jc w:val="center"/>
              <w:rPr>
                <w:sz w:val="20"/>
              </w:rPr>
            </w:pPr>
            <w:r>
              <w:rPr>
                <w:sz w:val="20"/>
              </w:rPr>
              <w:t>↑ HDL</w:t>
            </w:r>
          </w:p>
        </w:tc>
      </w:tr>
      <w:tr w:rsidR="003D6523">
        <w:tc>
          <w:tcPr>
            <w:tcW w:w="1728" w:type="dxa"/>
            <w:vAlign w:val="center"/>
          </w:tcPr>
          <w:p w:rsidR="003D6523" w:rsidRDefault="003D6523">
            <w:pPr>
              <w:jc w:val="center"/>
              <w:rPr>
                <w:b/>
                <w:sz w:val="20"/>
              </w:rPr>
            </w:pPr>
            <w:r>
              <w:rPr>
                <w:b/>
                <w:sz w:val="20"/>
              </w:rPr>
              <w:t>Glukokortikoidi</w:t>
            </w:r>
          </w:p>
        </w:tc>
        <w:tc>
          <w:tcPr>
            <w:tcW w:w="5770" w:type="dxa"/>
            <w:vAlign w:val="center"/>
          </w:tcPr>
          <w:p w:rsidR="003D6523" w:rsidRDefault="003D6523">
            <w:pPr>
              <w:rPr>
                <w:sz w:val="20"/>
              </w:rPr>
            </w:pPr>
            <w:r>
              <w:rPr>
                <w:sz w:val="20"/>
              </w:rPr>
              <w:t>Stimulacija sinteze VLDL v jetrih.</w:t>
            </w:r>
          </w:p>
        </w:tc>
        <w:tc>
          <w:tcPr>
            <w:tcW w:w="1788" w:type="dxa"/>
            <w:vAlign w:val="center"/>
          </w:tcPr>
          <w:p w:rsidR="003D6523" w:rsidRDefault="003D6523">
            <w:pPr>
              <w:jc w:val="center"/>
              <w:rPr>
                <w:sz w:val="20"/>
              </w:rPr>
            </w:pPr>
            <w:r>
              <w:rPr>
                <w:sz w:val="20"/>
              </w:rPr>
              <w:t>↑ VLDL</w:t>
            </w:r>
          </w:p>
          <w:p w:rsidR="003D6523" w:rsidRDefault="003D6523">
            <w:pPr>
              <w:jc w:val="center"/>
              <w:rPr>
                <w:sz w:val="20"/>
              </w:rPr>
            </w:pPr>
            <w:r>
              <w:rPr>
                <w:sz w:val="20"/>
              </w:rPr>
              <w:t>↑ LDL</w:t>
            </w:r>
          </w:p>
        </w:tc>
      </w:tr>
      <w:tr w:rsidR="003D6523">
        <w:tc>
          <w:tcPr>
            <w:tcW w:w="1728" w:type="dxa"/>
            <w:vAlign w:val="center"/>
          </w:tcPr>
          <w:p w:rsidR="003D6523" w:rsidRDefault="003D6523">
            <w:pPr>
              <w:jc w:val="center"/>
              <w:rPr>
                <w:b/>
                <w:sz w:val="20"/>
              </w:rPr>
            </w:pPr>
            <w:r>
              <w:rPr>
                <w:b/>
                <w:sz w:val="20"/>
              </w:rPr>
              <w:t>BETA blokatorji</w:t>
            </w:r>
          </w:p>
        </w:tc>
        <w:tc>
          <w:tcPr>
            <w:tcW w:w="5770" w:type="dxa"/>
            <w:vAlign w:val="center"/>
          </w:tcPr>
          <w:p w:rsidR="003D6523" w:rsidRDefault="003D6523">
            <w:pPr>
              <w:rPr>
                <w:sz w:val="20"/>
              </w:rPr>
            </w:pPr>
            <w:r>
              <w:rPr>
                <w:sz w:val="20"/>
              </w:rPr>
              <w:t>Zaviranje lipoproteinske lipaze, ki ima za posledico znižanje katabolizma VLDL</w:t>
            </w:r>
          </w:p>
        </w:tc>
        <w:tc>
          <w:tcPr>
            <w:tcW w:w="1788" w:type="dxa"/>
            <w:vAlign w:val="center"/>
          </w:tcPr>
          <w:p w:rsidR="003D6523" w:rsidRDefault="003D6523">
            <w:pPr>
              <w:jc w:val="center"/>
              <w:rPr>
                <w:sz w:val="20"/>
              </w:rPr>
            </w:pPr>
            <w:r>
              <w:rPr>
                <w:sz w:val="20"/>
              </w:rPr>
              <w:t>↑ VLDL</w:t>
            </w:r>
          </w:p>
          <w:p w:rsidR="003D6523" w:rsidRDefault="003D6523">
            <w:pPr>
              <w:jc w:val="center"/>
              <w:rPr>
                <w:sz w:val="20"/>
              </w:rPr>
            </w:pPr>
            <w:r>
              <w:rPr>
                <w:sz w:val="20"/>
              </w:rPr>
              <w:t>↑ LDL</w:t>
            </w:r>
          </w:p>
        </w:tc>
      </w:tr>
    </w:tbl>
    <w:p w:rsidR="003D6523" w:rsidRDefault="003D6523">
      <w:pPr>
        <w:tabs>
          <w:tab w:val="left" w:pos="5426"/>
        </w:tabs>
        <w:rPr>
          <w:b/>
          <w:sz w:val="20"/>
        </w:rPr>
      </w:pPr>
    </w:p>
    <w:p w:rsidR="003D6523" w:rsidRDefault="003D6523">
      <w:pPr>
        <w:tabs>
          <w:tab w:val="left" w:pos="5426"/>
        </w:tabs>
        <w:rPr>
          <w:b/>
        </w:rPr>
      </w:pPr>
    </w:p>
    <w:p w:rsidR="003D6523" w:rsidRPr="00AB776D" w:rsidRDefault="003D6523">
      <w:pPr>
        <w:tabs>
          <w:tab w:val="left" w:pos="5426"/>
        </w:tabs>
        <w:rPr>
          <w:rFonts w:ascii="Arial Black" w:hAnsi="Arial Black"/>
          <w:b/>
          <w:color w:val="800080"/>
        </w:rPr>
      </w:pPr>
      <w:r w:rsidRPr="00AB776D">
        <w:rPr>
          <w:rFonts w:ascii="Arial Black" w:hAnsi="Arial Black"/>
          <w:b/>
          <w:color w:val="800080"/>
        </w:rPr>
        <w:t>FARMAKOLOŠKA TERAPIJA</w:t>
      </w:r>
    </w:p>
    <w:p w:rsidR="003D6523" w:rsidRPr="00AB776D" w:rsidRDefault="003D6523">
      <w:pPr>
        <w:tabs>
          <w:tab w:val="left" w:pos="5426"/>
        </w:tabs>
        <w:rPr>
          <w:rFonts w:ascii="Times New Roman" w:hAnsi="Times New Roman"/>
          <w:sz w:val="24"/>
          <w:szCs w:val="24"/>
        </w:rPr>
      </w:pPr>
      <w:r w:rsidRPr="00AB776D">
        <w:rPr>
          <w:rFonts w:ascii="Times New Roman" w:hAnsi="Times New Roman"/>
          <w:sz w:val="24"/>
          <w:szCs w:val="24"/>
        </w:rPr>
        <w:t>Pacientom, ki spadajo v rizično skupino za koronarno srčno bolezen se priporoča profilaksa z aspirinom. Kadar pride do odločitve za farmakološko zdravljenje, je protrebno zastaviti ciljno vrednost koncentracije LDL, ki jo želimo doseči (naprimer: pri pacientih z že razvito koronarno srčno boleznijo je cilj znižati koncentracijo LDL pod 100 mg/dL).</w:t>
      </w:r>
    </w:p>
    <w:p w:rsidR="003D6523" w:rsidRDefault="003D6523">
      <w:pPr>
        <w:tabs>
          <w:tab w:val="left" w:pos="5426"/>
        </w:tabs>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3D6523">
        <w:tc>
          <w:tcPr>
            <w:tcW w:w="2448" w:type="dxa"/>
            <w:tcBorders>
              <w:bottom w:val="double" w:sz="4" w:space="0" w:color="auto"/>
            </w:tcBorders>
          </w:tcPr>
          <w:p w:rsidR="003D6523" w:rsidRDefault="003D6523">
            <w:pPr>
              <w:tabs>
                <w:tab w:val="left" w:pos="5426"/>
              </w:tabs>
              <w:jc w:val="center"/>
              <w:rPr>
                <w:b/>
                <w:sz w:val="20"/>
              </w:rPr>
            </w:pPr>
            <w:r>
              <w:rPr>
                <w:b/>
                <w:sz w:val="20"/>
              </w:rPr>
              <w:t>UČINKOVINA</w:t>
            </w:r>
          </w:p>
        </w:tc>
        <w:tc>
          <w:tcPr>
            <w:tcW w:w="6764" w:type="dxa"/>
            <w:tcBorders>
              <w:bottom w:val="double" w:sz="4" w:space="0" w:color="auto"/>
            </w:tcBorders>
          </w:tcPr>
          <w:p w:rsidR="003D6523" w:rsidRDefault="003D6523">
            <w:pPr>
              <w:tabs>
                <w:tab w:val="left" w:pos="5426"/>
              </w:tabs>
              <w:jc w:val="center"/>
              <w:rPr>
                <w:b/>
                <w:sz w:val="20"/>
              </w:rPr>
            </w:pPr>
            <w:r>
              <w:rPr>
                <w:b/>
                <w:sz w:val="20"/>
              </w:rPr>
              <w:t>MEHANIZEM</w:t>
            </w:r>
          </w:p>
        </w:tc>
      </w:tr>
      <w:tr w:rsidR="003D6523">
        <w:tc>
          <w:tcPr>
            <w:tcW w:w="2448" w:type="dxa"/>
            <w:tcBorders>
              <w:top w:val="double" w:sz="4" w:space="0" w:color="auto"/>
            </w:tcBorders>
            <w:vAlign w:val="center"/>
          </w:tcPr>
          <w:p w:rsidR="003D6523" w:rsidRDefault="003D6523">
            <w:pPr>
              <w:tabs>
                <w:tab w:val="left" w:pos="5426"/>
              </w:tabs>
              <w:jc w:val="center"/>
              <w:rPr>
                <w:b/>
                <w:sz w:val="20"/>
              </w:rPr>
            </w:pPr>
            <w:r>
              <w:rPr>
                <w:b/>
                <w:sz w:val="20"/>
              </w:rPr>
              <w:t>Niacin</w:t>
            </w:r>
          </w:p>
        </w:tc>
        <w:tc>
          <w:tcPr>
            <w:tcW w:w="6764" w:type="dxa"/>
            <w:tcBorders>
              <w:top w:val="double" w:sz="4" w:space="0" w:color="auto"/>
            </w:tcBorders>
          </w:tcPr>
          <w:p w:rsidR="003D6523" w:rsidRDefault="003D6523">
            <w:pPr>
              <w:tabs>
                <w:tab w:val="left" w:pos="5426"/>
              </w:tabs>
              <w:rPr>
                <w:sz w:val="20"/>
              </w:rPr>
            </w:pPr>
            <w:r>
              <w:rPr>
                <w:sz w:val="20"/>
              </w:rPr>
              <w:t>Zniža produkcijo VLDL partiklov, kar povzroči zmanjšanje koncentracije LDL in povečanje HDL.</w:t>
            </w:r>
          </w:p>
        </w:tc>
      </w:tr>
      <w:tr w:rsidR="003D6523">
        <w:tc>
          <w:tcPr>
            <w:tcW w:w="2448" w:type="dxa"/>
            <w:vAlign w:val="center"/>
          </w:tcPr>
          <w:p w:rsidR="003D6523" w:rsidRDefault="003D6523">
            <w:pPr>
              <w:tabs>
                <w:tab w:val="left" w:pos="5426"/>
              </w:tabs>
              <w:jc w:val="center"/>
              <w:rPr>
                <w:b/>
                <w:sz w:val="20"/>
              </w:rPr>
            </w:pPr>
            <w:r>
              <w:rPr>
                <w:b/>
                <w:sz w:val="20"/>
              </w:rPr>
              <w:t>Žolčno kislino vezoči absorbenti</w:t>
            </w:r>
          </w:p>
        </w:tc>
        <w:tc>
          <w:tcPr>
            <w:tcW w:w="6764" w:type="dxa"/>
          </w:tcPr>
          <w:p w:rsidR="003D6523" w:rsidRDefault="003D6523">
            <w:pPr>
              <w:tabs>
                <w:tab w:val="left" w:pos="5426"/>
              </w:tabs>
              <w:rPr>
                <w:sz w:val="20"/>
              </w:rPr>
            </w:pPr>
            <w:r>
              <w:rPr>
                <w:sz w:val="20"/>
              </w:rPr>
              <w:t>vežejo žolčne kisline v v črevesju. To pospeši produkcijo žolčnih kislin v jetrih, kar pospeši porabo holesterola. Aktivnost jetrnega LDL receprotja se poveča in nivo LDL v plazmi se zniža.</w:t>
            </w:r>
          </w:p>
        </w:tc>
      </w:tr>
      <w:tr w:rsidR="003D6523">
        <w:tc>
          <w:tcPr>
            <w:tcW w:w="2448" w:type="dxa"/>
            <w:vAlign w:val="center"/>
          </w:tcPr>
          <w:p w:rsidR="003D6523" w:rsidRDefault="003D6523">
            <w:pPr>
              <w:tabs>
                <w:tab w:val="left" w:pos="5426"/>
              </w:tabs>
              <w:jc w:val="center"/>
              <w:rPr>
                <w:b/>
                <w:sz w:val="20"/>
              </w:rPr>
            </w:pPr>
            <w:r>
              <w:rPr>
                <w:b/>
                <w:sz w:val="20"/>
              </w:rPr>
              <w:t>HMG-CoA reduktaza inhibitorji (družina statinov)</w:t>
            </w:r>
          </w:p>
        </w:tc>
        <w:tc>
          <w:tcPr>
            <w:tcW w:w="6764" w:type="dxa"/>
          </w:tcPr>
          <w:p w:rsidR="003D6523" w:rsidRDefault="003D6523">
            <w:pPr>
              <w:tabs>
                <w:tab w:val="left" w:pos="5426"/>
              </w:tabs>
              <w:rPr>
                <w:sz w:val="20"/>
              </w:rPr>
            </w:pPr>
            <w:r>
              <w:rPr>
                <w:sz w:val="20"/>
              </w:rPr>
              <w:t>Delujejo tako, da inhibirajo ključno stopnjo v sintezi holesterola. Jetrna sinteza holesterola upade, kompenzatorno pa se poveča število LDL receptorjev. Tako se poveča privzem LDL iz cirkulirajoče krvi.</w:t>
            </w:r>
          </w:p>
        </w:tc>
      </w:tr>
      <w:tr w:rsidR="003D6523">
        <w:tc>
          <w:tcPr>
            <w:tcW w:w="2448" w:type="dxa"/>
            <w:vAlign w:val="center"/>
          </w:tcPr>
          <w:p w:rsidR="003D6523" w:rsidRDefault="003D6523">
            <w:pPr>
              <w:tabs>
                <w:tab w:val="left" w:pos="5426"/>
              </w:tabs>
              <w:jc w:val="center"/>
              <w:rPr>
                <w:b/>
                <w:sz w:val="20"/>
              </w:rPr>
            </w:pPr>
            <w:r>
              <w:rPr>
                <w:b/>
                <w:sz w:val="20"/>
              </w:rPr>
              <w:t>Derivati fibrinske kisline</w:t>
            </w:r>
          </w:p>
        </w:tc>
        <w:tc>
          <w:tcPr>
            <w:tcW w:w="6764" w:type="dxa"/>
          </w:tcPr>
          <w:p w:rsidR="003D6523" w:rsidRDefault="003D6523">
            <w:pPr>
              <w:tabs>
                <w:tab w:val="left" w:pos="5426"/>
              </w:tabs>
              <w:rPr>
                <w:sz w:val="20"/>
              </w:rPr>
            </w:pPr>
            <w:r>
              <w:rPr>
                <w:sz w:val="20"/>
              </w:rPr>
              <w:t>Zmanjšajo sintezo in pospešijo razgradnjo VLDL partiklov, kar ima posledice na metabolizmu LDL in HDL partiklov.</w:t>
            </w:r>
          </w:p>
        </w:tc>
      </w:tr>
      <w:tr w:rsidR="003D6523">
        <w:tc>
          <w:tcPr>
            <w:tcW w:w="2448" w:type="dxa"/>
            <w:vAlign w:val="center"/>
          </w:tcPr>
          <w:p w:rsidR="003D6523" w:rsidRDefault="003D6523">
            <w:pPr>
              <w:tabs>
                <w:tab w:val="left" w:pos="5426"/>
              </w:tabs>
              <w:jc w:val="center"/>
              <w:rPr>
                <w:b/>
                <w:sz w:val="20"/>
              </w:rPr>
            </w:pPr>
            <w:r>
              <w:rPr>
                <w:b/>
                <w:sz w:val="20"/>
              </w:rPr>
              <w:t>Ezetimib</w:t>
            </w:r>
          </w:p>
        </w:tc>
        <w:tc>
          <w:tcPr>
            <w:tcW w:w="6764" w:type="dxa"/>
          </w:tcPr>
          <w:p w:rsidR="003D6523" w:rsidRDefault="003D6523">
            <w:pPr>
              <w:tabs>
                <w:tab w:val="left" w:pos="5426"/>
              </w:tabs>
              <w:rPr>
                <w:sz w:val="20"/>
              </w:rPr>
            </w:pPr>
            <w:r>
              <w:rPr>
                <w:sz w:val="20"/>
              </w:rPr>
              <w:t>Inhibira črevesno absorbcijo holesterola, tako da blokira prehod čez steno črevesja.</w:t>
            </w:r>
          </w:p>
        </w:tc>
      </w:tr>
    </w:tbl>
    <w:p w:rsidR="003D6523" w:rsidRDefault="003D6523"/>
    <w:p w:rsidR="00AB776D" w:rsidRDefault="00AB776D">
      <w:pPr>
        <w:rPr>
          <w:b/>
        </w:rPr>
      </w:pPr>
    </w:p>
    <w:p w:rsidR="003D6523" w:rsidRPr="00AB776D" w:rsidRDefault="003D6523">
      <w:pPr>
        <w:rPr>
          <w:rFonts w:ascii="Arial Black" w:hAnsi="Arial Black"/>
          <w:b/>
          <w:color w:val="800080"/>
        </w:rPr>
      </w:pPr>
      <w:r w:rsidRPr="00AB776D">
        <w:rPr>
          <w:rFonts w:ascii="Arial Black" w:hAnsi="Arial Black"/>
          <w:b/>
          <w:color w:val="800080"/>
        </w:rPr>
        <w:t>LIPIDI IN PREHRANA</w:t>
      </w:r>
    </w:p>
    <w:p w:rsidR="00021997" w:rsidRDefault="003D6523">
      <w:pPr>
        <w:jc w:val="both"/>
        <w:rPr>
          <w:rFonts w:ascii="Times New Roman" w:hAnsi="Times New Roman"/>
          <w:szCs w:val="22"/>
        </w:rPr>
      </w:pPr>
      <w:r w:rsidRPr="00021997">
        <w:rPr>
          <w:rFonts w:ascii="Times New Roman" w:hAnsi="Times New Roman"/>
          <w:szCs w:val="22"/>
        </w:rPr>
        <w:t xml:space="preserve">Že pred 50 leti se le začel pregon maščob iz prehrane. Tedanji strokovnjaki so kljub kompleksnosti problema v javnost poslali preprosto sporočilo, ki je za desetletja prevladalo v večini zahodnjaških kuhinj: »Maščoba škoduje zdravju, povzroča veliko bolezni in zaradi nje boste umrli prej!«  To je pripomoglo k silovitemu razmahu »low-fat« izdelkov in nove veje živilske industrije. Od zgodnjih 70. let se je v Ameriki povprečen vnos maščob zelo znižal. Kljub temu incidenca srčnih bolezni ne pada, debelost in diabetes tipa II pa skokovito naraščata. Nesporno je, da zvišane vrednosti LDL in s tem celotnega holesterola v krvi pripomorejo k aterosklerozi. Iz tega so prišli na domnevo, da je treba holesterol v krvi pri vseh čim bolj znižati. S tem naj bi dosegli manjšo incidenco srčnih bolezni ter daljše preživetje. Primarna preventiva nižanja holesterola obravnava ljudi z nizkim tveganjem za koronarno bolezen, ki pa imajo višje tveganje za zgodnjo smrt zaradi drugih vzrokov. Sekundarna preventiva pa se nanaša na ljudi z visokim tveganjem za koronarno bolezen in z manj drugimi težavami. Pri le-teh je prišlo ob zniževanju holesterola v krvi do prepričljivih rezultatov, zlasti z uporabo različnih statinov. </w:t>
      </w:r>
    </w:p>
    <w:p w:rsidR="00021997" w:rsidRDefault="003D6523">
      <w:pPr>
        <w:jc w:val="both"/>
        <w:rPr>
          <w:rFonts w:ascii="Times New Roman" w:hAnsi="Times New Roman"/>
          <w:szCs w:val="22"/>
        </w:rPr>
      </w:pPr>
      <w:r w:rsidRPr="00021997">
        <w:rPr>
          <w:rFonts w:ascii="Times New Roman" w:hAnsi="Times New Roman"/>
          <w:szCs w:val="22"/>
        </w:rPr>
        <w:t xml:space="preserve">Na drugi strani pa primarna preventiva ni zvišala dobe preživetja, ki je bila pri tej skupini bolj pomembna. </w:t>
      </w:r>
      <w:r w:rsidRPr="00021997">
        <w:rPr>
          <w:rFonts w:ascii="Times New Roman" w:hAnsi="Times New Roman"/>
          <w:b/>
          <w:szCs w:val="22"/>
        </w:rPr>
        <w:t>Iz tega se da sklepati, da je za čim daljše življenje idealna neka srednja vrednost holesterola v krvi in ljudem brez večjega tveganja za koronarno bolezen holesterola ni smiselno zniževati</w:t>
      </w:r>
      <w:r w:rsidRPr="00021997">
        <w:rPr>
          <w:rFonts w:ascii="Times New Roman" w:hAnsi="Times New Roman"/>
          <w:szCs w:val="22"/>
        </w:rPr>
        <w:t>. Smrtnost se veča tako z visokim kot tudi s (pre)nizkim holesterolom v krvi.</w:t>
      </w:r>
    </w:p>
    <w:p w:rsidR="00021997" w:rsidRDefault="003D6523">
      <w:pPr>
        <w:jc w:val="both"/>
        <w:rPr>
          <w:rFonts w:ascii="Times New Roman" w:hAnsi="Times New Roman"/>
          <w:szCs w:val="22"/>
        </w:rPr>
      </w:pPr>
      <w:r w:rsidRPr="00021997">
        <w:rPr>
          <w:rFonts w:ascii="Times New Roman" w:hAnsi="Times New Roman"/>
          <w:szCs w:val="22"/>
        </w:rPr>
        <w:t xml:space="preserve"> Na Japonskem zaužijejo zelo malo maščob in zdravniki celo svetujejo pacientom, naj si zvišajo raven holesterola. Prenizek holesterol je povezan s hemoragično kapjo in prezgodnjo smrtjo zaradi raka, travm ter respiratornih in prebavnih bolezni. V rdečem mesu, mlečnih izdelkih, maslu najdemo največ nasičenih mašč. kislin, medtem ko v zelenjavnih oljih (olivno, sončnično, sojino) in oreških največ nenasičenih mašč. kisl. Nenasičene maščobne kisline so lahko v trans ali cis obliki. V naravi je večina nenasičenih mašč. kislin v cis obliki, medtem ko z industrijsko predelavo nastajajo trans oblike. Splošno znano je dejstvo, da so </w:t>
      </w:r>
      <w:r w:rsidRPr="00021997">
        <w:rPr>
          <w:rFonts w:ascii="Times New Roman" w:hAnsi="Times New Roman"/>
          <w:b/>
          <w:szCs w:val="22"/>
        </w:rPr>
        <w:t>nasičene maščobne kisline</w:t>
      </w:r>
      <w:r w:rsidRPr="00021997">
        <w:rPr>
          <w:rFonts w:ascii="Times New Roman" w:hAnsi="Times New Roman"/>
          <w:szCs w:val="22"/>
        </w:rPr>
        <w:t xml:space="preserve"> tiste, ki so škodljive -</w:t>
      </w:r>
      <w:r w:rsidRPr="00021997">
        <w:rPr>
          <w:rFonts w:ascii="Times New Roman" w:hAnsi="Times New Roman"/>
          <w:b/>
          <w:szCs w:val="22"/>
        </w:rPr>
        <w:t xml:space="preserve"> višajo tako LDL kot HDL</w:t>
      </w:r>
      <w:r w:rsidRPr="00021997">
        <w:rPr>
          <w:rFonts w:ascii="Times New Roman" w:hAnsi="Times New Roman"/>
          <w:szCs w:val="22"/>
        </w:rPr>
        <w:t xml:space="preserve">. </w:t>
      </w:r>
    </w:p>
    <w:p w:rsidR="00021997" w:rsidRDefault="003D6523">
      <w:pPr>
        <w:jc w:val="both"/>
        <w:rPr>
          <w:rFonts w:ascii="Times New Roman" w:hAnsi="Times New Roman"/>
          <w:szCs w:val="22"/>
        </w:rPr>
      </w:pPr>
      <w:r w:rsidRPr="00021997">
        <w:rPr>
          <w:rFonts w:ascii="Times New Roman" w:hAnsi="Times New Roman"/>
          <w:szCs w:val="22"/>
        </w:rPr>
        <w:t xml:space="preserve">Vrednosti pa vendar niso tako ekstremne, kot so prvotno domnevali. Nekatere nasičene MK pa imajo tudi samo nevtralni učinek. Stearična kislina (čokolada) viša HDL in nima učinka na LDL. Nenasičene mašč. kisl. na telo delujejo drugače - </w:t>
      </w:r>
      <w:r w:rsidRPr="00021997">
        <w:rPr>
          <w:rFonts w:ascii="Times New Roman" w:hAnsi="Times New Roman"/>
          <w:b/>
          <w:szCs w:val="22"/>
        </w:rPr>
        <w:t>mononenasičene mašč. kisl. (cis) višajo HDL in  hkrati nižajo LDL</w:t>
      </w:r>
      <w:r w:rsidRPr="00021997">
        <w:rPr>
          <w:rFonts w:ascii="Times New Roman" w:hAnsi="Times New Roman"/>
          <w:szCs w:val="22"/>
        </w:rPr>
        <w:t xml:space="preserve">. Usodna pa je kombinacija učinkov, ki jih povzročijo </w:t>
      </w:r>
      <w:r w:rsidRPr="00021997">
        <w:rPr>
          <w:rFonts w:ascii="Times New Roman" w:hAnsi="Times New Roman"/>
          <w:b/>
          <w:szCs w:val="22"/>
        </w:rPr>
        <w:t>trans nenasičene maščobne kisline, višajo namreč LDL in nižajo HDL.</w:t>
      </w:r>
      <w:r w:rsidRPr="00021997">
        <w:rPr>
          <w:rFonts w:ascii="Times New Roman" w:hAnsi="Times New Roman"/>
          <w:szCs w:val="22"/>
        </w:rPr>
        <w:t xml:space="preserve"> </w:t>
      </w:r>
    </w:p>
    <w:p w:rsidR="00021997" w:rsidRDefault="003D6523">
      <w:pPr>
        <w:jc w:val="both"/>
        <w:rPr>
          <w:rFonts w:ascii="Times New Roman" w:hAnsi="Times New Roman"/>
          <w:szCs w:val="22"/>
        </w:rPr>
      </w:pPr>
      <w:r w:rsidRPr="00021997">
        <w:rPr>
          <w:rFonts w:ascii="Times New Roman" w:hAnsi="Times New Roman"/>
          <w:szCs w:val="22"/>
        </w:rPr>
        <w:t>Trans nenasičene mašč. kisl. se pridelajo s hidrogeniranjem in najdemo jih zlasti v margarini, ki so jo ljudje začeli uporabljati kot zdravo različico nasproti odsvetovanemu maslu. Veliko jih je tudi v pečenem krompirčku, čipsu, krofih in piškotih. Omega-3 nenasičene mašč. kisl. so v cis obliki in zmanjšajo možnost ventrikularne fibrilacije in drugih motenj srčnega ritma. So v riba</w:t>
      </w:r>
      <w:r w:rsidR="00021997" w:rsidRPr="00021997">
        <w:rPr>
          <w:rFonts w:ascii="Times New Roman" w:hAnsi="Times New Roman"/>
          <w:szCs w:val="22"/>
        </w:rPr>
        <w:t>h, oreških in zelenjavnih oljih.</w:t>
      </w:r>
      <w:r w:rsidRPr="00021997">
        <w:rPr>
          <w:rFonts w:ascii="Times New Roman" w:hAnsi="Times New Roman"/>
          <w:szCs w:val="22"/>
        </w:rPr>
        <w:t xml:space="preserve">Še ena slabost preganjanja maščob iz prehrane je ta, da je prehrambena industrija začela nadomeščati maščobe z ogljikohidrati z visokim glikemičnim indeksom, ti pa so hitro razgradljivi, se hitro absorbirajo ter dvignejo krvno koncentracijo glukoze ter posledično tudi insulina, ki povzroči hiter padec koncentracije glukoze (tudi pod bazalno raven). </w:t>
      </w:r>
    </w:p>
    <w:p w:rsidR="003D6523" w:rsidRDefault="003D6523">
      <w:pPr>
        <w:jc w:val="both"/>
        <w:rPr>
          <w:rFonts w:ascii="Times New Roman" w:hAnsi="Times New Roman"/>
          <w:szCs w:val="22"/>
        </w:rPr>
      </w:pPr>
      <w:r w:rsidRPr="00021997">
        <w:rPr>
          <w:rFonts w:ascii="Times New Roman" w:hAnsi="Times New Roman"/>
          <w:szCs w:val="22"/>
        </w:rPr>
        <w:t xml:space="preserve">Visoki koncentraciji glukoze in insulina povečata koncentracijo TAG in zmanjšata koncentracijo HDL, poleg tega pa  hiter padec koncentracije krvne glukoze lahko privede do lakote po ogljikohidratno bogatem obroku, kar vodi k debelosti. Neaktivne osebe z visokim indeksom telesne teže imajo pogosteje znake pomanjkanja učinkov insulina, kar imenujemo </w:t>
      </w:r>
      <w:r w:rsidRPr="00021997">
        <w:rPr>
          <w:rFonts w:ascii="Times New Roman" w:hAnsi="Times New Roman"/>
          <w:b/>
          <w:szCs w:val="22"/>
        </w:rPr>
        <w:t>sindrom x ali (poli)metabolni sindrom</w:t>
      </w:r>
      <w:r w:rsidRPr="00021997">
        <w:rPr>
          <w:rFonts w:ascii="Times New Roman" w:hAnsi="Times New Roman"/>
          <w:szCs w:val="22"/>
        </w:rPr>
        <w:t xml:space="preserve">, za kar je značilno: </w:t>
      </w:r>
    </w:p>
    <w:p w:rsidR="00021997" w:rsidRPr="00021997" w:rsidRDefault="00021997">
      <w:pPr>
        <w:jc w:val="both"/>
        <w:rPr>
          <w:rFonts w:ascii="Times New Roman" w:hAnsi="Times New Roman"/>
          <w:szCs w:val="22"/>
        </w:rPr>
      </w:pPr>
    </w:p>
    <w:p w:rsidR="003D6523" w:rsidRPr="00021997" w:rsidRDefault="003D6523">
      <w:pPr>
        <w:numPr>
          <w:ilvl w:val="0"/>
          <w:numId w:val="5"/>
        </w:numPr>
        <w:jc w:val="both"/>
        <w:rPr>
          <w:rFonts w:ascii="Times New Roman" w:hAnsi="Times New Roman"/>
          <w:szCs w:val="22"/>
        </w:rPr>
      </w:pPr>
      <w:r w:rsidRPr="00021997">
        <w:rPr>
          <w:rFonts w:ascii="Times New Roman" w:hAnsi="Times New Roman"/>
          <w:szCs w:val="22"/>
        </w:rPr>
        <w:t>trebušna debelost (obseg pasu pri m &gt; 102cm, pri ž &gt; 88cm)</w:t>
      </w:r>
    </w:p>
    <w:p w:rsidR="003D6523" w:rsidRPr="00021997" w:rsidRDefault="003D6523">
      <w:pPr>
        <w:numPr>
          <w:ilvl w:val="0"/>
          <w:numId w:val="5"/>
        </w:numPr>
        <w:jc w:val="both"/>
        <w:rPr>
          <w:rFonts w:ascii="Times New Roman" w:hAnsi="Times New Roman"/>
          <w:szCs w:val="22"/>
        </w:rPr>
      </w:pPr>
      <w:r w:rsidRPr="00021997">
        <w:rPr>
          <w:rFonts w:ascii="Times New Roman" w:hAnsi="Times New Roman"/>
          <w:szCs w:val="22"/>
        </w:rPr>
        <w:t>rahlo povišana raven krvnega sladkorja ( &gt; 6,1 mmol/l)</w:t>
      </w:r>
    </w:p>
    <w:p w:rsidR="003D6523" w:rsidRPr="00021997" w:rsidRDefault="003D6523">
      <w:pPr>
        <w:numPr>
          <w:ilvl w:val="0"/>
          <w:numId w:val="5"/>
        </w:numPr>
        <w:jc w:val="both"/>
        <w:rPr>
          <w:rFonts w:ascii="Times New Roman" w:hAnsi="Times New Roman"/>
          <w:szCs w:val="22"/>
        </w:rPr>
      </w:pPr>
      <w:r w:rsidRPr="00021997">
        <w:rPr>
          <w:rFonts w:ascii="Times New Roman" w:hAnsi="Times New Roman"/>
          <w:szCs w:val="22"/>
        </w:rPr>
        <w:t>zvišan krvni tlak ( &gt; 130/85 mmHg)</w:t>
      </w:r>
    </w:p>
    <w:p w:rsidR="003D6523" w:rsidRPr="00021997" w:rsidRDefault="003D6523">
      <w:pPr>
        <w:numPr>
          <w:ilvl w:val="0"/>
          <w:numId w:val="5"/>
        </w:numPr>
        <w:jc w:val="both"/>
        <w:rPr>
          <w:rFonts w:ascii="Times New Roman" w:hAnsi="Times New Roman"/>
          <w:szCs w:val="22"/>
        </w:rPr>
      </w:pPr>
      <w:r w:rsidRPr="00021997">
        <w:rPr>
          <w:rFonts w:ascii="Times New Roman" w:hAnsi="Times New Roman"/>
          <w:szCs w:val="22"/>
        </w:rPr>
        <w:t>znižana konc. HDL (&lt; 1,04 mmol/l oz. &lt; 40mg/dl))</w:t>
      </w:r>
    </w:p>
    <w:p w:rsidR="003D6523" w:rsidRDefault="003D6523">
      <w:pPr>
        <w:numPr>
          <w:ilvl w:val="0"/>
          <w:numId w:val="5"/>
        </w:numPr>
        <w:jc w:val="both"/>
        <w:rPr>
          <w:rFonts w:ascii="Times New Roman" w:hAnsi="Times New Roman"/>
          <w:szCs w:val="22"/>
        </w:rPr>
      </w:pPr>
      <w:r w:rsidRPr="00021997">
        <w:rPr>
          <w:rFonts w:ascii="Times New Roman" w:hAnsi="Times New Roman"/>
          <w:szCs w:val="22"/>
        </w:rPr>
        <w:t>zvišana konc. TAG (&gt; 1,7 mmol/l oz. &gt; 150mg/dl)</w:t>
      </w:r>
    </w:p>
    <w:p w:rsidR="00021997" w:rsidRPr="00021997" w:rsidRDefault="00021997" w:rsidP="00021997">
      <w:pPr>
        <w:jc w:val="both"/>
        <w:rPr>
          <w:rFonts w:ascii="Times New Roman" w:hAnsi="Times New Roman"/>
          <w:szCs w:val="22"/>
        </w:rPr>
      </w:pPr>
    </w:p>
    <w:p w:rsidR="003D6523" w:rsidRPr="00B03E1E" w:rsidRDefault="003D6523">
      <w:pPr>
        <w:jc w:val="both"/>
        <w:rPr>
          <w:rFonts w:ascii="Times New Roman" w:hAnsi="Times New Roman"/>
          <w:szCs w:val="22"/>
        </w:rPr>
        <w:sectPr w:rsidR="003D6523" w:rsidRPr="00B03E1E">
          <w:type w:val="continuous"/>
          <w:pgSz w:w="11906" w:h="16838"/>
          <w:pgMar w:top="1418" w:right="1418" w:bottom="1418" w:left="1418" w:header="709" w:footer="709" w:gutter="0"/>
          <w:cols w:space="708"/>
          <w:docGrid w:linePitch="360"/>
        </w:sectPr>
      </w:pPr>
      <w:r w:rsidRPr="00021997">
        <w:rPr>
          <w:rFonts w:ascii="Times New Roman" w:hAnsi="Times New Roman"/>
          <w:szCs w:val="22"/>
        </w:rPr>
        <w:t>Pomembno je zgodnje odkrivanje in zdravljenje metabolnega sindroma, ker se drugače lahko razvijeta diabetes tipa II in srčno-žilne bolezn</w:t>
      </w:r>
      <w:r w:rsidR="009F5103">
        <w:rPr>
          <w:rFonts w:ascii="Times New Roman" w:hAnsi="Times New Roman"/>
          <w:szCs w:val="22"/>
        </w:rPr>
        <w:t>i.</w:t>
      </w:r>
    </w:p>
    <w:p w:rsidR="003D6523" w:rsidRDefault="003D6523" w:rsidP="00B03E1E">
      <w:pPr>
        <w:rPr>
          <w:b/>
          <w:bCs/>
          <w:sz w:val="14"/>
        </w:rPr>
      </w:pPr>
    </w:p>
    <w:sectPr w:rsidR="003D6523">
      <w:pgSz w:w="11907" w:h="16840"/>
      <w:pgMar w:top="1418" w:right="1701" w:bottom="851"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0DC1" w:rsidRDefault="00D40DC1">
      <w:r>
        <w:separator/>
      </w:r>
    </w:p>
  </w:endnote>
  <w:endnote w:type="continuationSeparator" w:id="0">
    <w:p w:rsidR="00D40DC1" w:rsidRDefault="00D40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enfrew">
    <w:altName w:val="Times New Roman"/>
    <w:charset w:val="00"/>
    <w:family w:val="auto"/>
    <w:pitch w:val="variable"/>
    <w:sig w:usb0="00000007" w:usb1="00000000" w:usb2="00000000" w:usb3="00000000" w:csb0="00000003"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997" w:rsidRDefault="00021997" w:rsidP="000219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21997" w:rsidRDefault="00021997" w:rsidP="000219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997" w:rsidRDefault="00021997" w:rsidP="000219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07B2D">
      <w:rPr>
        <w:rStyle w:val="PageNumber"/>
        <w:noProof/>
      </w:rPr>
      <w:t>2</w:t>
    </w:r>
    <w:r>
      <w:rPr>
        <w:rStyle w:val="PageNumber"/>
      </w:rPr>
      <w:fldChar w:fldCharType="end"/>
    </w:r>
  </w:p>
  <w:p w:rsidR="00021997" w:rsidRDefault="00021997" w:rsidP="000219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0DC1" w:rsidRDefault="00D40DC1">
      <w:r>
        <w:separator/>
      </w:r>
    </w:p>
  </w:footnote>
  <w:footnote w:type="continuationSeparator" w:id="0">
    <w:p w:rsidR="00D40DC1" w:rsidRDefault="00D40D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523" w:rsidRDefault="003D652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D6523" w:rsidRDefault="003D652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523" w:rsidRDefault="003D6523">
    <w:pPr>
      <w:pStyle w:val="Header"/>
      <w:ind w:right="360"/>
      <w:rPr>
        <w:rStyle w:val="PageNumber"/>
      </w:rPr>
    </w:pPr>
  </w:p>
  <w:p w:rsidR="00657325" w:rsidRDefault="0065732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7CDC"/>
    <w:multiLevelType w:val="hybridMultilevel"/>
    <w:tmpl w:val="9FB08D7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C2087B"/>
    <w:multiLevelType w:val="hybridMultilevel"/>
    <w:tmpl w:val="C7D85B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F505A69"/>
    <w:multiLevelType w:val="multilevel"/>
    <w:tmpl w:val="543E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351B44"/>
    <w:multiLevelType w:val="hybridMultilevel"/>
    <w:tmpl w:val="83F86A00"/>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BD47EE"/>
    <w:multiLevelType w:val="multilevel"/>
    <w:tmpl w:val="F6CA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5D2295"/>
    <w:multiLevelType w:val="hybridMultilevel"/>
    <w:tmpl w:val="E520994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1592BFC"/>
    <w:multiLevelType w:val="hybridMultilevel"/>
    <w:tmpl w:val="5E52D4F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78F0"/>
    <w:rsid w:val="00021997"/>
    <w:rsid w:val="00285A2D"/>
    <w:rsid w:val="003D6523"/>
    <w:rsid w:val="00657325"/>
    <w:rsid w:val="006D78F0"/>
    <w:rsid w:val="00814C2A"/>
    <w:rsid w:val="008174D5"/>
    <w:rsid w:val="008D471E"/>
    <w:rsid w:val="00907B2D"/>
    <w:rsid w:val="009F5103"/>
    <w:rsid w:val="00AB776D"/>
    <w:rsid w:val="00B03E1E"/>
    <w:rsid w:val="00C60816"/>
    <w:rsid w:val="00D40D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eastAsia="en-US"/>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bCs/>
    </w:rPr>
  </w:style>
  <w:style w:type="character" w:styleId="PageNumber">
    <w:name w:val="page number"/>
    <w:basedOn w:val="DefaultParagraphFont"/>
  </w:style>
  <w:style w:type="paragraph" w:styleId="Header">
    <w:name w:val="header"/>
    <w:basedOn w:val="Normal"/>
    <w:pPr>
      <w:tabs>
        <w:tab w:val="center" w:pos="4536"/>
        <w:tab w:val="right" w:pos="9072"/>
      </w:tabs>
    </w:pPr>
    <w:rPr>
      <w:rFonts w:ascii="Times New Roman" w:hAnsi="Times New Roman"/>
      <w:sz w:val="24"/>
      <w:szCs w:val="24"/>
      <w:lang w:eastAsia="sl-SI"/>
    </w:rPr>
  </w:style>
  <w:style w:type="character" w:styleId="CommentReference">
    <w:name w:val="annotation reference"/>
    <w:semiHidden/>
    <w:rsid w:val="006D78F0"/>
    <w:rPr>
      <w:sz w:val="16"/>
      <w:szCs w:val="16"/>
    </w:rPr>
  </w:style>
  <w:style w:type="paragraph" w:styleId="CommentText">
    <w:name w:val="annotation text"/>
    <w:basedOn w:val="Normal"/>
    <w:semiHidden/>
    <w:rsid w:val="006D78F0"/>
    <w:rPr>
      <w:sz w:val="20"/>
    </w:rPr>
  </w:style>
  <w:style w:type="paragraph" w:styleId="CommentSubject">
    <w:name w:val="annotation subject"/>
    <w:basedOn w:val="CommentText"/>
    <w:next w:val="CommentText"/>
    <w:semiHidden/>
    <w:rsid w:val="006D78F0"/>
    <w:rPr>
      <w:b/>
      <w:bCs/>
    </w:rPr>
  </w:style>
  <w:style w:type="paragraph" w:styleId="BalloonText">
    <w:name w:val="Balloon Text"/>
    <w:basedOn w:val="Normal"/>
    <w:semiHidden/>
    <w:rsid w:val="006D78F0"/>
    <w:rPr>
      <w:rFonts w:ascii="Tahoma" w:hAnsi="Tahoma" w:cs="Tahoma"/>
      <w:sz w:val="16"/>
      <w:szCs w:val="16"/>
    </w:rPr>
  </w:style>
  <w:style w:type="paragraph" w:styleId="Footer">
    <w:name w:val="footer"/>
    <w:basedOn w:val="Normal"/>
    <w:rsid w:val="00657325"/>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2940</Words>
  <Characters>16760</Characters>
  <Application>Microsoft Office Word</Application>
  <DocSecurity>0</DocSecurity>
  <Lines>139</Lines>
  <Paragraphs>39</Paragraphs>
  <ScaleCrop>false</ScaleCrop>
  <Company/>
  <LinksUpToDate>false</LinksUpToDate>
  <CharactersWithSpaces>19661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2019-05-06T08:11:00Z</dcterms:created>
  <dcterms:modified xsi:type="dcterms:W3CDTF">2019-05-06T08:11:00Z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