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BB0D" w14:textId="347929FF" w:rsidR="00A67AD0" w:rsidRPr="003F634E" w:rsidRDefault="003F634E" w:rsidP="003F634E">
      <w:pPr>
        <w:pStyle w:val="Heading1"/>
        <w:jc w:val="center"/>
        <w:rPr>
          <w:rFonts w:ascii="Arial" w:hAnsi="Arial" w:cs="Arial"/>
        </w:rPr>
      </w:pPr>
      <w:bookmarkStart w:id="0" w:name="_GoBack"/>
      <w:bookmarkEnd w:id="0"/>
      <w:r>
        <w:rPr>
          <w:rFonts w:ascii="Arial" w:hAnsi="Arial" w:cs="Arial"/>
        </w:rPr>
        <w:t>UMETNA GNOJILA</w:t>
      </w:r>
    </w:p>
    <w:p w14:paraId="67A3CF7E" w14:textId="77777777" w:rsidR="00A67AD0" w:rsidRPr="003F634E" w:rsidRDefault="00A67AD0">
      <w:pPr>
        <w:jc w:val="both"/>
        <w:rPr>
          <w:rFonts w:cs="Arial"/>
          <w:sz w:val="20"/>
        </w:rPr>
      </w:pPr>
    </w:p>
    <w:p w14:paraId="125BF2A9" w14:textId="77777777" w:rsidR="00A67AD0" w:rsidRPr="003F634E" w:rsidRDefault="00A67AD0">
      <w:pPr>
        <w:rPr>
          <w:rFonts w:cs="Arial"/>
          <w:color w:val="FF0000"/>
          <w:sz w:val="20"/>
        </w:rPr>
      </w:pPr>
    </w:p>
    <w:tbl>
      <w:tblPr>
        <w:tblW w:w="0" w:type="auto"/>
        <w:tblInd w:w="84" w:type="dxa"/>
        <w:tblLayout w:type="fixed"/>
        <w:tblCellMar>
          <w:left w:w="84" w:type="dxa"/>
          <w:right w:w="84" w:type="dxa"/>
        </w:tblCellMar>
        <w:tblLook w:val="0000" w:firstRow="0" w:lastRow="0" w:firstColumn="0" w:lastColumn="0" w:noHBand="0" w:noVBand="0"/>
      </w:tblPr>
      <w:tblGrid>
        <w:gridCol w:w="2822"/>
        <w:gridCol w:w="4605"/>
      </w:tblGrid>
      <w:tr w:rsidR="00A67AD0" w:rsidRPr="003F634E" w14:paraId="3DE377B1" w14:textId="77777777">
        <w:tc>
          <w:tcPr>
            <w:tcW w:w="2822" w:type="dxa"/>
            <w:shd w:val="clear" w:color="FFFFFF" w:fill="auto"/>
          </w:tcPr>
          <w:p w14:paraId="6C7907B9" w14:textId="77777777" w:rsidR="00A67AD0" w:rsidRPr="003F634E" w:rsidRDefault="00483356">
            <w:pPr>
              <w:rPr>
                <w:rFonts w:cs="Arial"/>
                <w:color w:val="008000"/>
              </w:rPr>
            </w:pPr>
            <w:r w:rsidRPr="003F634E">
              <w:rPr>
                <w:rFonts w:cs="Arial"/>
                <w:color w:val="008000"/>
                <w:sz w:val="20"/>
              </w:rPr>
              <w:fldChar w:fldCharType="begin"/>
            </w:r>
            <w:r w:rsidRPr="003F634E">
              <w:rPr>
                <w:rFonts w:cs="Arial"/>
                <w:color w:val="008000"/>
                <w:sz w:val="20"/>
              </w:rPr>
              <w:instrText>PRIVATE</w:instrText>
            </w:r>
            <w:r w:rsidRPr="003F634E">
              <w:rPr>
                <w:rFonts w:cs="Arial"/>
                <w:color w:val="008000"/>
                <w:sz w:val="20"/>
              </w:rPr>
              <w:fldChar w:fldCharType="end"/>
            </w:r>
            <w:r w:rsidRPr="003F634E">
              <w:rPr>
                <w:rFonts w:cs="Arial"/>
                <w:b/>
                <w:i/>
                <w:color w:val="008000"/>
              </w:rPr>
              <w:t>Mineralna gnojila</w:t>
            </w:r>
          </w:p>
        </w:tc>
        <w:tc>
          <w:tcPr>
            <w:tcW w:w="4605" w:type="dxa"/>
            <w:shd w:val="clear" w:color="FFFFFF" w:fill="auto"/>
          </w:tcPr>
          <w:p w14:paraId="7A2A253C" w14:textId="77777777" w:rsidR="00A67AD0" w:rsidRPr="003F634E" w:rsidRDefault="00483356">
            <w:pPr>
              <w:rPr>
                <w:rFonts w:cs="Arial"/>
                <w:color w:val="008000"/>
              </w:rPr>
            </w:pPr>
            <w:r w:rsidRPr="003F634E">
              <w:rPr>
                <w:rFonts w:cs="Arial"/>
                <w:b/>
                <w:i/>
                <w:color w:val="008000"/>
              </w:rPr>
              <w:t>Soli</w:t>
            </w:r>
          </w:p>
        </w:tc>
      </w:tr>
      <w:tr w:rsidR="00A67AD0" w:rsidRPr="003F634E" w14:paraId="24312804" w14:textId="77777777">
        <w:tc>
          <w:tcPr>
            <w:tcW w:w="2822" w:type="dxa"/>
            <w:shd w:val="clear" w:color="FFFFFF" w:fill="auto"/>
          </w:tcPr>
          <w:p w14:paraId="5A7395BE" w14:textId="77777777" w:rsidR="00A67AD0" w:rsidRPr="003F634E" w:rsidRDefault="00483356">
            <w:pPr>
              <w:rPr>
                <w:rFonts w:cs="Arial"/>
                <w:color w:val="FF0000"/>
              </w:rPr>
            </w:pPr>
            <w:r w:rsidRPr="003F634E">
              <w:rPr>
                <w:rFonts w:cs="Arial"/>
                <w:color w:val="FF0000"/>
              </w:rPr>
              <w:t>Dušično gnojilo</w:t>
            </w:r>
          </w:p>
        </w:tc>
        <w:tc>
          <w:tcPr>
            <w:tcW w:w="4605" w:type="dxa"/>
            <w:shd w:val="clear" w:color="FFFFFF" w:fill="auto"/>
          </w:tcPr>
          <w:p w14:paraId="1F448F10" w14:textId="77777777" w:rsidR="00A67AD0" w:rsidRPr="003F634E" w:rsidRDefault="00483356">
            <w:pPr>
              <w:rPr>
                <w:rFonts w:cs="Arial"/>
              </w:rPr>
            </w:pPr>
            <w:r w:rsidRPr="003F634E">
              <w:rPr>
                <w:rFonts w:cs="Arial"/>
                <w:color w:val="000080"/>
              </w:rPr>
              <w:t>(NH</w:t>
            </w:r>
            <w:r w:rsidRPr="003F634E">
              <w:rPr>
                <w:rFonts w:cs="Arial"/>
                <w:color w:val="000080"/>
                <w:vertAlign w:val="subscript"/>
              </w:rPr>
              <w:t>4</w:t>
            </w:r>
            <w:r w:rsidRPr="003F634E">
              <w:rPr>
                <w:rFonts w:cs="Arial"/>
                <w:color w:val="000080"/>
              </w:rPr>
              <w:t>)</w:t>
            </w:r>
            <w:r w:rsidRPr="003F634E">
              <w:rPr>
                <w:rFonts w:cs="Arial"/>
                <w:color w:val="000080"/>
                <w:vertAlign w:val="subscript"/>
              </w:rPr>
              <w:t>2</w:t>
            </w:r>
            <w:r w:rsidRPr="003F634E">
              <w:rPr>
                <w:rFonts w:cs="Arial"/>
                <w:color w:val="000080"/>
              </w:rPr>
              <w:t>SO</w:t>
            </w:r>
            <w:r w:rsidRPr="003F634E">
              <w:rPr>
                <w:rFonts w:cs="Arial"/>
                <w:color w:val="000080"/>
                <w:vertAlign w:val="subscript"/>
              </w:rPr>
              <w:t>4</w:t>
            </w:r>
            <w:r w:rsidRPr="003F634E">
              <w:rPr>
                <w:rFonts w:cs="Arial"/>
                <w:color w:val="000080"/>
              </w:rPr>
              <w:t>, NH</w:t>
            </w:r>
            <w:r w:rsidRPr="003F634E">
              <w:rPr>
                <w:rFonts w:cs="Arial"/>
                <w:color w:val="000080"/>
                <w:vertAlign w:val="subscript"/>
              </w:rPr>
              <w:t>4</w:t>
            </w:r>
            <w:r w:rsidRPr="003F634E">
              <w:rPr>
                <w:rFonts w:cs="Arial"/>
                <w:color w:val="000080"/>
              </w:rPr>
              <w:t>NO</w:t>
            </w:r>
            <w:r w:rsidRPr="003F634E">
              <w:rPr>
                <w:rFonts w:cs="Arial"/>
                <w:color w:val="000080"/>
                <w:vertAlign w:val="subscript"/>
              </w:rPr>
              <w:t>3</w:t>
            </w:r>
          </w:p>
        </w:tc>
      </w:tr>
      <w:tr w:rsidR="00A67AD0" w:rsidRPr="003F634E" w14:paraId="3A063412" w14:textId="77777777">
        <w:tc>
          <w:tcPr>
            <w:tcW w:w="2822" w:type="dxa"/>
            <w:shd w:val="clear" w:color="FFFFFF" w:fill="auto"/>
          </w:tcPr>
          <w:p w14:paraId="0CD8D4B5" w14:textId="77777777" w:rsidR="00A67AD0" w:rsidRPr="003F634E" w:rsidRDefault="00483356">
            <w:pPr>
              <w:rPr>
                <w:rFonts w:cs="Arial"/>
                <w:color w:val="FF0000"/>
              </w:rPr>
            </w:pPr>
            <w:r w:rsidRPr="003F634E">
              <w:rPr>
                <w:rFonts w:cs="Arial"/>
                <w:color w:val="FF0000"/>
              </w:rPr>
              <w:t>Fosforno gnojilo</w:t>
            </w:r>
          </w:p>
        </w:tc>
        <w:tc>
          <w:tcPr>
            <w:tcW w:w="4605" w:type="dxa"/>
            <w:shd w:val="clear" w:color="FFFFFF" w:fill="auto"/>
          </w:tcPr>
          <w:p w14:paraId="7564E085" w14:textId="77777777" w:rsidR="00A67AD0" w:rsidRPr="003F634E" w:rsidRDefault="00483356">
            <w:pPr>
              <w:rPr>
                <w:rFonts w:cs="Arial"/>
              </w:rPr>
            </w:pPr>
            <w:r w:rsidRPr="003F634E">
              <w:rPr>
                <w:rFonts w:cs="Arial"/>
                <w:color w:val="000080"/>
              </w:rPr>
              <w:t>Ca(H</w:t>
            </w:r>
            <w:r w:rsidRPr="003F634E">
              <w:rPr>
                <w:rFonts w:cs="Arial"/>
                <w:color w:val="000080"/>
                <w:vertAlign w:val="subscript"/>
              </w:rPr>
              <w:t>2</w:t>
            </w:r>
            <w:r w:rsidRPr="003F634E">
              <w:rPr>
                <w:rFonts w:cs="Arial"/>
                <w:color w:val="000080"/>
              </w:rPr>
              <w:t>PO</w:t>
            </w:r>
            <w:r w:rsidRPr="003F634E">
              <w:rPr>
                <w:rFonts w:cs="Arial"/>
                <w:color w:val="000080"/>
                <w:vertAlign w:val="subscript"/>
              </w:rPr>
              <w:t>4</w:t>
            </w:r>
            <w:r w:rsidRPr="003F634E">
              <w:rPr>
                <w:rFonts w:cs="Arial"/>
                <w:color w:val="000080"/>
              </w:rPr>
              <w:t>)</w:t>
            </w:r>
            <w:r w:rsidRPr="003F634E">
              <w:rPr>
                <w:rFonts w:cs="Arial"/>
                <w:color w:val="000080"/>
                <w:vertAlign w:val="subscript"/>
              </w:rPr>
              <w:t>2</w:t>
            </w:r>
            <w:r w:rsidRPr="003F634E">
              <w:rPr>
                <w:rFonts w:cs="Arial"/>
                <w:color w:val="000080"/>
              </w:rPr>
              <w:t xml:space="preserve"> + CaSO</w:t>
            </w:r>
            <w:r w:rsidRPr="003F634E">
              <w:rPr>
                <w:rFonts w:cs="Arial"/>
                <w:color w:val="000080"/>
                <w:vertAlign w:val="subscript"/>
              </w:rPr>
              <w:t>4</w:t>
            </w:r>
          </w:p>
        </w:tc>
      </w:tr>
      <w:tr w:rsidR="00A67AD0" w:rsidRPr="003F634E" w14:paraId="2995E867" w14:textId="77777777">
        <w:tc>
          <w:tcPr>
            <w:tcW w:w="2822" w:type="dxa"/>
            <w:shd w:val="clear" w:color="FFFFFF" w:fill="auto"/>
          </w:tcPr>
          <w:p w14:paraId="1B0863CB" w14:textId="77777777" w:rsidR="00A67AD0" w:rsidRPr="003F634E" w:rsidRDefault="00483356">
            <w:pPr>
              <w:rPr>
                <w:rFonts w:cs="Arial"/>
                <w:color w:val="FF0000"/>
              </w:rPr>
            </w:pPr>
            <w:r w:rsidRPr="003F634E">
              <w:rPr>
                <w:rFonts w:cs="Arial"/>
                <w:color w:val="FF0000"/>
              </w:rPr>
              <w:t>Kalijevo gnojilo</w:t>
            </w:r>
          </w:p>
        </w:tc>
        <w:tc>
          <w:tcPr>
            <w:tcW w:w="4605" w:type="dxa"/>
            <w:shd w:val="clear" w:color="FFFFFF" w:fill="auto"/>
          </w:tcPr>
          <w:p w14:paraId="2BE920A3" w14:textId="77777777" w:rsidR="00A67AD0" w:rsidRPr="003F634E" w:rsidRDefault="00483356">
            <w:pPr>
              <w:rPr>
                <w:rFonts w:cs="Arial"/>
              </w:rPr>
            </w:pPr>
            <w:r w:rsidRPr="003F634E">
              <w:rPr>
                <w:rFonts w:cs="Arial"/>
                <w:color w:val="000080"/>
              </w:rPr>
              <w:t>KCl</w:t>
            </w:r>
          </w:p>
        </w:tc>
      </w:tr>
      <w:tr w:rsidR="00A67AD0" w:rsidRPr="003F634E" w14:paraId="1685529A" w14:textId="77777777">
        <w:tc>
          <w:tcPr>
            <w:tcW w:w="2822" w:type="dxa"/>
            <w:shd w:val="clear" w:color="FFFFFF" w:fill="auto"/>
          </w:tcPr>
          <w:p w14:paraId="7701936D" w14:textId="77777777" w:rsidR="00A67AD0" w:rsidRPr="003F634E" w:rsidRDefault="00483356">
            <w:pPr>
              <w:rPr>
                <w:rFonts w:cs="Arial"/>
                <w:color w:val="FF0000"/>
              </w:rPr>
            </w:pPr>
            <w:r w:rsidRPr="003F634E">
              <w:rPr>
                <w:rFonts w:cs="Arial"/>
                <w:color w:val="FF0000"/>
              </w:rPr>
              <w:t>Kombinirano gnojilo - nitrofoskal</w:t>
            </w:r>
          </w:p>
        </w:tc>
        <w:tc>
          <w:tcPr>
            <w:tcW w:w="4605" w:type="dxa"/>
            <w:shd w:val="clear" w:color="FFFFFF" w:fill="auto"/>
          </w:tcPr>
          <w:p w14:paraId="1281BEE7" w14:textId="77777777" w:rsidR="00A67AD0" w:rsidRPr="003F634E" w:rsidRDefault="00483356">
            <w:pPr>
              <w:rPr>
                <w:rFonts w:cs="Arial"/>
              </w:rPr>
            </w:pPr>
            <w:r w:rsidRPr="003F634E">
              <w:rPr>
                <w:rFonts w:cs="Arial"/>
                <w:color w:val="000080"/>
              </w:rPr>
              <w:t>NH</w:t>
            </w:r>
            <w:r w:rsidRPr="003F634E">
              <w:rPr>
                <w:rFonts w:cs="Arial"/>
                <w:color w:val="000080"/>
                <w:vertAlign w:val="subscript"/>
              </w:rPr>
              <w:t>4</w:t>
            </w:r>
            <w:r w:rsidRPr="003F634E">
              <w:rPr>
                <w:rFonts w:cs="Arial"/>
                <w:color w:val="000080"/>
              </w:rPr>
              <w:t>NO</w:t>
            </w:r>
            <w:r w:rsidRPr="003F634E">
              <w:rPr>
                <w:rFonts w:cs="Arial"/>
                <w:color w:val="000080"/>
                <w:vertAlign w:val="subscript"/>
              </w:rPr>
              <w:t>3</w:t>
            </w:r>
            <w:r w:rsidRPr="003F634E">
              <w:rPr>
                <w:rFonts w:cs="Arial"/>
                <w:color w:val="000080"/>
              </w:rPr>
              <w:t>, (NH</w:t>
            </w:r>
            <w:r w:rsidRPr="003F634E">
              <w:rPr>
                <w:rFonts w:cs="Arial"/>
                <w:color w:val="000080"/>
                <w:vertAlign w:val="subscript"/>
              </w:rPr>
              <w:t>4</w:t>
            </w:r>
            <w:r w:rsidRPr="003F634E">
              <w:rPr>
                <w:rFonts w:cs="Arial"/>
                <w:color w:val="000080"/>
              </w:rPr>
              <w:t>)</w:t>
            </w:r>
            <w:r w:rsidRPr="003F634E">
              <w:rPr>
                <w:rFonts w:cs="Arial"/>
                <w:color w:val="000080"/>
                <w:vertAlign w:val="subscript"/>
              </w:rPr>
              <w:t>2</w:t>
            </w:r>
            <w:r w:rsidRPr="003F634E">
              <w:rPr>
                <w:rFonts w:cs="Arial"/>
                <w:color w:val="000080"/>
              </w:rPr>
              <w:t>HPO</w:t>
            </w:r>
            <w:r w:rsidRPr="003F634E">
              <w:rPr>
                <w:rFonts w:cs="Arial"/>
                <w:color w:val="000080"/>
                <w:vertAlign w:val="subscript"/>
              </w:rPr>
              <w:t>4</w:t>
            </w:r>
            <w:r w:rsidRPr="003F634E">
              <w:rPr>
                <w:rFonts w:cs="Arial"/>
                <w:color w:val="000080"/>
              </w:rPr>
              <w:t>, CaHPO</w:t>
            </w:r>
            <w:r w:rsidRPr="003F634E">
              <w:rPr>
                <w:rFonts w:cs="Arial"/>
                <w:color w:val="000080"/>
                <w:vertAlign w:val="subscript"/>
              </w:rPr>
              <w:t>4</w:t>
            </w:r>
            <w:r w:rsidRPr="003F634E">
              <w:rPr>
                <w:rFonts w:cs="Arial"/>
                <w:color w:val="000080"/>
              </w:rPr>
              <w:t>, KCl, Ca(H</w:t>
            </w:r>
            <w:r w:rsidRPr="003F634E">
              <w:rPr>
                <w:rFonts w:cs="Arial"/>
                <w:color w:val="000080"/>
                <w:vertAlign w:val="subscript"/>
              </w:rPr>
              <w:t>2</w:t>
            </w:r>
            <w:r w:rsidRPr="003F634E">
              <w:rPr>
                <w:rFonts w:cs="Arial"/>
                <w:color w:val="000080"/>
              </w:rPr>
              <w:t>PO</w:t>
            </w:r>
            <w:r w:rsidRPr="003F634E">
              <w:rPr>
                <w:rFonts w:cs="Arial"/>
                <w:color w:val="000080"/>
                <w:vertAlign w:val="subscript"/>
              </w:rPr>
              <w:t>4</w:t>
            </w:r>
            <w:r w:rsidRPr="003F634E">
              <w:rPr>
                <w:rFonts w:cs="Arial"/>
                <w:color w:val="000080"/>
              </w:rPr>
              <w:t>)</w:t>
            </w:r>
            <w:r w:rsidRPr="003F634E">
              <w:rPr>
                <w:rFonts w:cs="Arial"/>
                <w:color w:val="000080"/>
                <w:vertAlign w:val="subscript"/>
              </w:rPr>
              <w:t>2</w:t>
            </w:r>
            <w:r w:rsidRPr="003F634E">
              <w:rPr>
                <w:rFonts w:cs="Arial"/>
                <w:color w:val="000080"/>
              </w:rPr>
              <w:t>, CaSO</w:t>
            </w:r>
            <w:r w:rsidRPr="003F634E">
              <w:rPr>
                <w:rFonts w:cs="Arial"/>
                <w:color w:val="000080"/>
                <w:vertAlign w:val="subscript"/>
              </w:rPr>
              <w:t>4</w:t>
            </w:r>
          </w:p>
        </w:tc>
      </w:tr>
    </w:tbl>
    <w:p w14:paraId="13BE97A5" w14:textId="77777777" w:rsidR="00A67AD0" w:rsidRPr="003F634E" w:rsidRDefault="00A67AD0">
      <w:pPr>
        <w:jc w:val="both"/>
        <w:rPr>
          <w:rFonts w:cs="Arial"/>
          <w:sz w:val="20"/>
        </w:rPr>
      </w:pPr>
    </w:p>
    <w:p w14:paraId="11CC432D" w14:textId="77777777" w:rsidR="00A67AD0" w:rsidRPr="003F634E" w:rsidRDefault="00483356">
      <w:pPr>
        <w:jc w:val="both"/>
        <w:rPr>
          <w:rFonts w:cs="Arial"/>
          <w:sz w:val="20"/>
        </w:rPr>
      </w:pPr>
      <w:r w:rsidRPr="003F634E">
        <w:rPr>
          <w:rFonts w:cs="Arial"/>
          <w:b/>
          <w:sz w:val="20"/>
        </w:rPr>
        <w:t>So industrijsko pridobljene snovi</w:t>
      </w:r>
      <w:r w:rsidRPr="003F634E">
        <w:rPr>
          <w:rFonts w:cs="Arial"/>
          <w:sz w:val="20"/>
        </w:rPr>
        <w:t xml:space="preserve">, ki se uporabljajo za gnojenje ali dognojevanje. Vsebujejo vse snovi, ki jih rastline potrebujejo za rast, kot npr. </w:t>
      </w:r>
      <w:r w:rsidRPr="003F634E">
        <w:rPr>
          <w:rFonts w:cs="Arial"/>
          <w:b/>
          <w:sz w:val="20"/>
        </w:rPr>
        <w:t>dušikove</w:t>
      </w:r>
      <w:r w:rsidRPr="003F634E">
        <w:rPr>
          <w:rFonts w:cs="Arial"/>
          <w:sz w:val="20"/>
        </w:rPr>
        <w:t xml:space="preserve"> in </w:t>
      </w:r>
      <w:r w:rsidRPr="003F634E">
        <w:rPr>
          <w:rFonts w:cs="Arial"/>
          <w:b/>
          <w:sz w:val="20"/>
        </w:rPr>
        <w:t>fosforjeve</w:t>
      </w:r>
      <w:r w:rsidRPr="003F634E">
        <w:rPr>
          <w:rFonts w:cs="Arial"/>
          <w:sz w:val="20"/>
        </w:rPr>
        <w:t xml:space="preserve"> spojine ter minerale npr. </w:t>
      </w:r>
      <w:r w:rsidRPr="003F634E">
        <w:rPr>
          <w:rFonts w:cs="Arial"/>
          <w:b/>
          <w:sz w:val="20"/>
        </w:rPr>
        <w:t>KCl</w:t>
      </w:r>
      <w:r w:rsidRPr="003F634E">
        <w:rPr>
          <w:rFonts w:cs="Arial"/>
          <w:sz w:val="20"/>
        </w:rPr>
        <w:t>. Razvoj umetnih gnojil se je pričel po letu 1913 ko so izumili postopek pridobivanja amoniaka iz vodika in dušika. Umetna gnojila so omogočila intenzivno kmetijstvo in bistveno povečanje pridelave hrane, obenem pa posredno ali neposredno povzročile tudi veliko škode – uničenje obdelovalnih površin, erozijo, eksplozivno rast prebivalstva itd.</w:t>
      </w:r>
    </w:p>
    <w:p w14:paraId="6439CB98" w14:textId="77777777" w:rsidR="00A67AD0" w:rsidRPr="003F634E" w:rsidRDefault="00A67AD0">
      <w:pPr>
        <w:jc w:val="both"/>
        <w:rPr>
          <w:rFonts w:cs="Arial"/>
          <w:sz w:val="20"/>
        </w:rPr>
      </w:pPr>
    </w:p>
    <w:p w14:paraId="1844738B" w14:textId="77777777" w:rsidR="00A67AD0" w:rsidRPr="003F634E" w:rsidRDefault="00483356">
      <w:pPr>
        <w:jc w:val="both"/>
        <w:rPr>
          <w:rFonts w:cs="Arial"/>
          <w:sz w:val="20"/>
        </w:rPr>
      </w:pPr>
      <w:r w:rsidRPr="003F634E">
        <w:rPr>
          <w:rFonts w:cs="Arial"/>
          <w:sz w:val="20"/>
        </w:rPr>
        <w:t>Rastline so ključnega pomena v prehranski verigi živali in ljudi. Za svojo rast potrebujejo poleg sončne svetlobe, toplote, vode in ogljikovega dioksida ( za fotosintezo ) še celo vrsto mineralnih snovi. Rastlina se lahko hrani s temi snovmi, če so v vodi topne in jih lahko s koreninami vsrka iz zemlje.</w:t>
      </w:r>
    </w:p>
    <w:p w14:paraId="15114F80" w14:textId="77777777" w:rsidR="00A67AD0" w:rsidRPr="003F634E" w:rsidRDefault="00A67AD0">
      <w:pPr>
        <w:jc w:val="both"/>
        <w:rPr>
          <w:rFonts w:cs="Arial"/>
          <w:sz w:val="20"/>
        </w:rPr>
      </w:pPr>
    </w:p>
    <w:p w14:paraId="54239739" w14:textId="77777777" w:rsidR="00A67AD0" w:rsidRPr="003F634E" w:rsidRDefault="00483356">
      <w:pPr>
        <w:jc w:val="both"/>
        <w:rPr>
          <w:rFonts w:cs="Arial"/>
          <w:sz w:val="20"/>
        </w:rPr>
      </w:pPr>
      <w:r w:rsidRPr="003F634E">
        <w:rPr>
          <w:rFonts w:cs="Arial"/>
          <w:sz w:val="20"/>
        </w:rPr>
        <w:t>Za tvorbo klorofila v listih potrebuje magnezijeve ione Mg</w:t>
      </w:r>
      <w:r w:rsidRPr="003F634E">
        <w:rPr>
          <w:rFonts w:cs="Arial"/>
          <w:sz w:val="20"/>
          <w:vertAlign w:val="superscript"/>
        </w:rPr>
        <w:t>2+</w:t>
      </w:r>
      <w:r w:rsidRPr="003F634E">
        <w:rPr>
          <w:rFonts w:cs="Arial"/>
          <w:sz w:val="20"/>
        </w:rPr>
        <w:t xml:space="preserve"> , za rastlinske beljakovine pa nitratne(V) ione NO</w:t>
      </w:r>
      <w:r w:rsidRPr="003F634E">
        <w:rPr>
          <w:rFonts w:cs="Arial"/>
          <w:sz w:val="20"/>
          <w:vertAlign w:val="subscript"/>
        </w:rPr>
        <w:t>3</w:t>
      </w:r>
      <w:r w:rsidRPr="003F634E">
        <w:rPr>
          <w:rFonts w:cs="Arial"/>
          <w:sz w:val="20"/>
          <w:vertAlign w:val="superscript"/>
        </w:rPr>
        <w:t>-</w:t>
      </w:r>
      <w:r w:rsidRPr="003F634E">
        <w:rPr>
          <w:rFonts w:cs="Arial"/>
          <w:sz w:val="20"/>
        </w:rPr>
        <w:t>. Za rast rastlin so pomembni še fosfor (PO</w:t>
      </w:r>
      <w:r w:rsidRPr="003F634E">
        <w:rPr>
          <w:rFonts w:cs="Arial"/>
          <w:sz w:val="20"/>
          <w:vertAlign w:val="subscript"/>
        </w:rPr>
        <w:t>4</w:t>
      </w:r>
      <w:r w:rsidRPr="003F634E">
        <w:rPr>
          <w:rFonts w:cs="Arial"/>
          <w:sz w:val="20"/>
          <w:vertAlign w:val="superscript"/>
        </w:rPr>
        <w:t>3-</w:t>
      </w:r>
      <w:r w:rsidRPr="003F634E">
        <w:rPr>
          <w:rFonts w:cs="Arial"/>
          <w:sz w:val="20"/>
        </w:rPr>
        <w:t>), kalij (K</w:t>
      </w:r>
      <w:r w:rsidRPr="003F634E">
        <w:rPr>
          <w:rFonts w:cs="Arial"/>
          <w:sz w:val="20"/>
          <w:vertAlign w:val="superscript"/>
        </w:rPr>
        <w:t>+</w:t>
      </w:r>
      <w:r w:rsidRPr="003F634E">
        <w:rPr>
          <w:rFonts w:cs="Arial"/>
          <w:sz w:val="20"/>
        </w:rPr>
        <w:t>), kalcij (Ca</w:t>
      </w:r>
      <w:r w:rsidRPr="003F634E">
        <w:rPr>
          <w:rFonts w:cs="Arial"/>
          <w:sz w:val="20"/>
          <w:vertAlign w:val="superscript"/>
        </w:rPr>
        <w:t>2+</w:t>
      </w:r>
      <w:r w:rsidRPr="003F634E">
        <w:rPr>
          <w:rFonts w:cs="Arial"/>
          <w:sz w:val="20"/>
        </w:rPr>
        <w:t>) in cela vrsta drugih elementov, ki jih imenujemo mikroelementi, saj jih rastline potrebujejo zelo malo.</w:t>
      </w:r>
    </w:p>
    <w:p w14:paraId="746D489C" w14:textId="77777777" w:rsidR="00A67AD0" w:rsidRPr="003F634E" w:rsidRDefault="00A67AD0">
      <w:pPr>
        <w:jc w:val="both"/>
        <w:rPr>
          <w:rFonts w:cs="Arial"/>
          <w:sz w:val="20"/>
        </w:rPr>
      </w:pPr>
    </w:p>
    <w:p w14:paraId="1F877FE3" w14:textId="77777777" w:rsidR="00A67AD0" w:rsidRPr="003F634E" w:rsidRDefault="00483356">
      <w:pPr>
        <w:jc w:val="both"/>
        <w:rPr>
          <w:rFonts w:cs="Arial"/>
          <w:sz w:val="20"/>
        </w:rPr>
      </w:pPr>
      <w:r w:rsidRPr="003F634E">
        <w:rPr>
          <w:rFonts w:cs="Arial"/>
          <w:sz w:val="20"/>
        </w:rPr>
        <w:t>V naravi mineralne snovi krožijo. Ko rastline odmrejo, jih mikroorganizmi v zemlji pretvorijo v mineralne snovi in nove rastline jih lahko spet porabijo. Z intenzivnim pridelovanjem hrane in monokulturami je človek posegel v naravno kroženje teh snovi. Pridelovanje monokultur povzroči, da je sčasoma nekaterih mineralnih snovi premalo za dobro rast rastlin, zato je potrebno dodatno gnojenje. Za 6 ton pšenice na hektar je potrebno 180 kg dušika. Bakterije, ki živijo v zemlji, lahko na hektarju zemlje v enem letu vežejo 25 kg dušika iz zraka in ga predelajo v amoniak in nitrate, kar je premalo za dober pridelek. Bakterije v gomoljčkih na korenine metuljnic lahko na hektarju zemlje vežejo 400 kg dušika iz zraka letno. Tako s kolobarjenjem poljščin, z dodajanjem umetnih in naravnih gnojil uravnavamo sestavo hranilnih snovi v zemlji.</w:t>
      </w:r>
    </w:p>
    <w:p w14:paraId="2C41DAA4" w14:textId="77777777" w:rsidR="00A67AD0" w:rsidRPr="003F634E" w:rsidRDefault="00A67AD0">
      <w:pPr>
        <w:jc w:val="both"/>
        <w:rPr>
          <w:rFonts w:cs="Arial"/>
          <w:sz w:val="20"/>
        </w:rPr>
      </w:pPr>
    </w:p>
    <w:p w14:paraId="756DA1BD" w14:textId="77777777" w:rsidR="00A67AD0" w:rsidRPr="003F634E" w:rsidRDefault="00483356">
      <w:pPr>
        <w:pStyle w:val="BodyText"/>
        <w:rPr>
          <w:rFonts w:cs="Arial"/>
        </w:rPr>
      </w:pPr>
      <w:r w:rsidRPr="003F634E">
        <w:rPr>
          <w:rFonts w:cs="Arial"/>
        </w:rPr>
        <w:t>Mineralno gnojenje je v rabi že 150 let. Mineralna gnojila so v vodi topne soli, da jih rastline lahko takoj vsrkajo ( razen amonijevih ionov ). Zato je pomembno, da gnojimo z njimi takrat, ko jih rastline najbolj potrebujejo. Prevelike količine mineralnih snovi ali gnojenje v času, ko rastline gnojil ne vsrkavajo, lahko onesnažujejo podtalnico.</w:t>
      </w:r>
    </w:p>
    <w:p w14:paraId="09E2B98A" w14:textId="77777777" w:rsidR="00A67AD0" w:rsidRPr="003F634E" w:rsidRDefault="00A67AD0">
      <w:pPr>
        <w:jc w:val="both"/>
        <w:rPr>
          <w:rFonts w:cs="Arial"/>
          <w:sz w:val="20"/>
        </w:rPr>
      </w:pPr>
    </w:p>
    <w:p w14:paraId="59F48992" w14:textId="77777777" w:rsidR="00A67AD0" w:rsidRPr="003F634E" w:rsidRDefault="00483356">
      <w:pPr>
        <w:jc w:val="both"/>
        <w:rPr>
          <w:rFonts w:cs="Arial"/>
          <w:sz w:val="20"/>
        </w:rPr>
      </w:pPr>
      <w:r w:rsidRPr="003F634E">
        <w:rPr>
          <w:rFonts w:cs="Arial"/>
          <w:b/>
          <w:sz w:val="20"/>
        </w:rPr>
        <w:t>Dušična gnojila</w:t>
      </w:r>
      <w:r w:rsidRPr="003F634E">
        <w:rPr>
          <w:rFonts w:cs="Arial"/>
          <w:sz w:val="20"/>
        </w:rPr>
        <w:t xml:space="preserve"> so nitrati(V) in amonijeve soli. </w:t>
      </w:r>
      <w:r w:rsidRPr="003F634E">
        <w:rPr>
          <w:rFonts w:cs="Arial"/>
          <w:b/>
          <w:sz w:val="20"/>
        </w:rPr>
        <w:t>Amonijevih ionov rastline ne morejo uporabiti</w:t>
      </w:r>
      <w:r w:rsidRPr="003F634E">
        <w:rPr>
          <w:rFonts w:cs="Arial"/>
          <w:sz w:val="20"/>
        </w:rPr>
        <w:t xml:space="preserve">, bakterije v zemlji jih pretvorijo v nitratne (V) ione, zato so amonijeve soli primerne za oskrbovanje rastlin z dušikom v daljšem časovnem obdobju. </w:t>
      </w:r>
      <w:r w:rsidRPr="003F634E">
        <w:rPr>
          <w:rFonts w:cs="Arial"/>
          <w:b/>
          <w:sz w:val="20"/>
        </w:rPr>
        <w:t>Fosfatna gnojila pridobivajo iz apatitov</w:t>
      </w:r>
      <w:r w:rsidRPr="003F634E">
        <w:rPr>
          <w:rFonts w:cs="Arial"/>
          <w:sz w:val="20"/>
        </w:rPr>
        <w:t>. Apatitov samih ne moremo uporabiti za gnojilo, ker je kalcijev fosfat(V) netopen. Zato ga z žveplovo (VI) kislino ali fosforjevo (V) kislino predelajo v netopni kalcijev dihidrogenfosfat(V).</w:t>
      </w:r>
    </w:p>
    <w:p w14:paraId="154E86D9" w14:textId="77777777" w:rsidR="00A67AD0" w:rsidRPr="003F634E" w:rsidRDefault="00A67AD0">
      <w:pPr>
        <w:rPr>
          <w:rFonts w:cs="Arial"/>
        </w:rPr>
      </w:pPr>
    </w:p>
    <w:p w14:paraId="00980063" w14:textId="77777777" w:rsidR="00A67AD0" w:rsidRPr="003F634E" w:rsidRDefault="00483356">
      <w:pPr>
        <w:rPr>
          <w:rFonts w:cs="Arial"/>
          <w:sz w:val="20"/>
          <w:vertAlign w:val="subscript"/>
        </w:rPr>
      </w:pPr>
      <w:r w:rsidRPr="003F634E">
        <w:rPr>
          <w:rFonts w:cs="Arial"/>
          <w:sz w:val="20"/>
        </w:rPr>
        <w:t>Ca</w:t>
      </w:r>
      <w:r w:rsidRPr="003F634E">
        <w:rPr>
          <w:rFonts w:cs="Arial"/>
          <w:sz w:val="20"/>
          <w:vertAlign w:val="subscript"/>
        </w:rPr>
        <w:t>3</w:t>
      </w:r>
      <w:r w:rsidRPr="003F634E">
        <w:rPr>
          <w:rFonts w:cs="Arial"/>
          <w:sz w:val="20"/>
        </w:rPr>
        <w:t>(PO</w:t>
      </w:r>
      <w:r w:rsidRPr="003F634E">
        <w:rPr>
          <w:rFonts w:cs="Arial"/>
          <w:sz w:val="20"/>
          <w:vertAlign w:val="subscript"/>
        </w:rPr>
        <w:t>4</w:t>
      </w:r>
      <w:r w:rsidRPr="003F634E">
        <w:rPr>
          <w:rFonts w:cs="Arial"/>
          <w:sz w:val="20"/>
        </w:rPr>
        <w:t>)</w:t>
      </w:r>
      <w:r w:rsidRPr="003F634E">
        <w:rPr>
          <w:rFonts w:cs="Arial"/>
          <w:sz w:val="20"/>
          <w:vertAlign w:val="subscript"/>
        </w:rPr>
        <w:t>2</w:t>
      </w:r>
      <w:r w:rsidRPr="003F634E">
        <w:rPr>
          <w:rFonts w:cs="Arial"/>
          <w:sz w:val="20"/>
        </w:rPr>
        <w:t xml:space="preserve"> + 2H</w:t>
      </w:r>
      <w:r w:rsidRPr="003F634E">
        <w:rPr>
          <w:rFonts w:cs="Arial"/>
          <w:sz w:val="20"/>
          <w:vertAlign w:val="subscript"/>
        </w:rPr>
        <w:t>2</w:t>
      </w:r>
      <w:r w:rsidRPr="003F634E">
        <w:rPr>
          <w:rFonts w:cs="Arial"/>
          <w:sz w:val="20"/>
        </w:rPr>
        <w:t>SO</w:t>
      </w:r>
      <w:r w:rsidRPr="003F634E">
        <w:rPr>
          <w:rFonts w:cs="Arial"/>
          <w:sz w:val="20"/>
          <w:vertAlign w:val="subscript"/>
        </w:rPr>
        <w:t>4</w:t>
      </w:r>
      <w:r w:rsidRPr="003F634E">
        <w:rPr>
          <w:rFonts w:cs="Arial"/>
          <w:sz w:val="20"/>
        </w:rPr>
        <w:t xml:space="preserve"> Ca(H</w:t>
      </w:r>
      <w:r w:rsidRPr="003F634E">
        <w:rPr>
          <w:rFonts w:cs="Arial"/>
          <w:sz w:val="20"/>
          <w:vertAlign w:val="subscript"/>
        </w:rPr>
        <w:t>2</w:t>
      </w:r>
      <w:r w:rsidRPr="003F634E">
        <w:rPr>
          <w:rFonts w:cs="Arial"/>
          <w:sz w:val="20"/>
        </w:rPr>
        <w:t>PO</w:t>
      </w:r>
      <w:r w:rsidRPr="003F634E">
        <w:rPr>
          <w:rFonts w:cs="Arial"/>
          <w:sz w:val="20"/>
          <w:vertAlign w:val="subscript"/>
        </w:rPr>
        <w:t>4</w:t>
      </w:r>
      <w:r w:rsidRPr="003F634E">
        <w:rPr>
          <w:rFonts w:cs="Arial"/>
          <w:sz w:val="20"/>
        </w:rPr>
        <w:t>)</w:t>
      </w:r>
      <w:r w:rsidRPr="003F634E">
        <w:rPr>
          <w:rFonts w:cs="Arial"/>
          <w:sz w:val="20"/>
          <w:vertAlign w:val="subscript"/>
        </w:rPr>
        <w:t>2</w:t>
      </w:r>
      <w:r w:rsidRPr="003F634E">
        <w:rPr>
          <w:rFonts w:cs="Arial"/>
          <w:sz w:val="20"/>
        </w:rPr>
        <w:t xml:space="preserve"> + 2CaSO</w:t>
      </w:r>
      <w:r w:rsidRPr="003F634E">
        <w:rPr>
          <w:rFonts w:cs="Arial"/>
          <w:sz w:val="20"/>
          <w:vertAlign w:val="subscript"/>
        </w:rPr>
        <w:t xml:space="preserve">4 </w:t>
      </w:r>
    </w:p>
    <w:p w14:paraId="6253895D" w14:textId="77777777" w:rsidR="00A67AD0" w:rsidRPr="003F634E" w:rsidRDefault="00A67AD0">
      <w:pPr>
        <w:rPr>
          <w:rFonts w:cs="Arial"/>
        </w:rPr>
      </w:pPr>
    </w:p>
    <w:p w14:paraId="39C9A5DB" w14:textId="77777777" w:rsidR="00A67AD0" w:rsidRPr="003F634E" w:rsidRDefault="00483356">
      <w:pPr>
        <w:rPr>
          <w:rFonts w:cs="Arial"/>
          <w:color w:val="FF0000"/>
          <w:sz w:val="20"/>
        </w:rPr>
      </w:pPr>
      <w:r w:rsidRPr="003F634E">
        <w:rPr>
          <w:rFonts w:cs="Arial"/>
          <w:sz w:val="20"/>
        </w:rPr>
        <w:t>Ca</w:t>
      </w:r>
      <w:r w:rsidRPr="003F634E">
        <w:rPr>
          <w:rFonts w:cs="Arial"/>
          <w:sz w:val="20"/>
          <w:vertAlign w:val="subscript"/>
        </w:rPr>
        <w:t>3</w:t>
      </w:r>
      <w:r w:rsidRPr="003F634E">
        <w:rPr>
          <w:rFonts w:cs="Arial"/>
          <w:sz w:val="20"/>
        </w:rPr>
        <w:t>(PO</w:t>
      </w:r>
      <w:r w:rsidRPr="003F634E">
        <w:rPr>
          <w:rFonts w:cs="Arial"/>
          <w:sz w:val="20"/>
          <w:vertAlign w:val="subscript"/>
        </w:rPr>
        <w:t>4</w:t>
      </w:r>
      <w:r w:rsidRPr="003F634E">
        <w:rPr>
          <w:rFonts w:cs="Arial"/>
          <w:sz w:val="20"/>
        </w:rPr>
        <w:t>)</w:t>
      </w:r>
      <w:r w:rsidRPr="003F634E">
        <w:rPr>
          <w:rFonts w:cs="Arial"/>
          <w:sz w:val="20"/>
          <w:vertAlign w:val="subscript"/>
        </w:rPr>
        <w:t>2</w:t>
      </w:r>
      <w:r w:rsidRPr="003F634E">
        <w:rPr>
          <w:rFonts w:cs="Arial"/>
          <w:sz w:val="20"/>
        </w:rPr>
        <w:t xml:space="preserve"> + 4H</w:t>
      </w:r>
      <w:r w:rsidRPr="003F634E">
        <w:rPr>
          <w:rFonts w:cs="Arial"/>
          <w:sz w:val="20"/>
          <w:vertAlign w:val="subscript"/>
        </w:rPr>
        <w:t>3</w:t>
      </w:r>
      <w:r w:rsidRPr="003F634E">
        <w:rPr>
          <w:rFonts w:cs="Arial"/>
          <w:sz w:val="20"/>
        </w:rPr>
        <w:t>PO</w:t>
      </w:r>
      <w:r w:rsidRPr="003F634E">
        <w:rPr>
          <w:rFonts w:cs="Arial"/>
          <w:sz w:val="20"/>
          <w:vertAlign w:val="subscript"/>
        </w:rPr>
        <w:t>4</w:t>
      </w:r>
      <w:r w:rsidRPr="003F634E">
        <w:rPr>
          <w:rFonts w:cs="Arial"/>
          <w:sz w:val="20"/>
        </w:rPr>
        <w:t xml:space="preserve"> 3Ca(H</w:t>
      </w:r>
      <w:r w:rsidRPr="003F634E">
        <w:rPr>
          <w:rFonts w:cs="Arial"/>
          <w:sz w:val="20"/>
          <w:vertAlign w:val="subscript"/>
        </w:rPr>
        <w:t>2</w:t>
      </w:r>
      <w:r w:rsidRPr="003F634E">
        <w:rPr>
          <w:rFonts w:cs="Arial"/>
          <w:sz w:val="20"/>
        </w:rPr>
        <w:t>PO</w:t>
      </w:r>
      <w:r w:rsidRPr="003F634E">
        <w:rPr>
          <w:rFonts w:cs="Arial"/>
          <w:sz w:val="20"/>
          <w:vertAlign w:val="subscript"/>
        </w:rPr>
        <w:t>4</w:t>
      </w:r>
      <w:r w:rsidRPr="003F634E">
        <w:rPr>
          <w:rFonts w:cs="Arial"/>
          <w:sz w:val="20"/>
        </w:rPr>
        <w:t>)</w:t>
      </w:r>
      <w:r w:rsidRPr="003F634E">
        <w:rPr>
          <w:rFonts w:cs="Arial"/>
          <w:sz w:val="20"/>
          <w:vertAlign w:val="subscript"/>
        </w:rPr>
        <w:t xml:space="preserve">2  </w:t>
      </w:r>
    </w:p>
    <w:p w14:paraId="07EC852C" w14:textId="77777777" w:rsidR="00A67AD0" w:rsidRPr="003F634E" w:rsidRDefault="00A67AD0">
      <w:pPr>
        <w:rPr>
          <w:rFonts w:cs="Arial"/>
          <w:color w:val="FF0000"/>
          <w:sz w:val="20"/>
        </w:rPr>
      </w:pPr>
    </w:p>
    <w:p w14:paraId="17BDAED2" w14:textId="77777777" w:rsidR="00A67AD0" w:rsidRPr="003F634E" w:rsidRDefault="00483356">
      <w:pPr>
        <w:pStyle w:val="Heading2"/>
        <w:rPr>
          <w:rFonts w:cs="Arial"/>
          <w:b w:val="0"/>
        </w:rPr>
      </w:pPr>
      <w:r w:rsidRPr="003F634E">
        <w:rPr>
          <w:rFonts w:cs="Arial"/>
        </w:rPr>
        <w:t xml:space="preserve">Nitrati in pitna voda: </w:t>
      </w:r>
      <w:r w:rsidRPr="003F634E">
        <w:rPr>
          <w:rFonts w:cs="Arial"/>
          <w:b w:val="0"/>
        </w:rPr>
        <w:t>Pretirano gnojenje z umetnimi gnojili ogroža podtalnico, ki je glavni vir pitne vode. Zlasti so nevarni nitratni (V) ioni. Dovoljena količina nitratnih (V) ionov v pitni vodi je 50 mg/L. Po priporočilih svetovne zdravstvene organizacije WHO človek nebi smel na dan zaužiti več kot 4 mg ˝nitratov¨(nitratnih(V) ionov NO</w:t>
      </w:r>
      <w:r w:rsidRPr="003F634E">
        <w:rPr>
          <w:rFonts w:cs="Arial"/>
          <w:b w:val="0"/>
          <w:vertAlign w:val="subscript"/>
        </w:rPr>
        <w:t>3</w:t>
      </w:r>
      <w:r w:rsidRPr="003F634E">
        <w:rPr>
          <w:rFonts w:cs="Arial"/>
          <w:b w:val="0"/>
          <w:vertAlign w:val="superscript"/>
        </w:rPr>
        <w:t>-</w:t>
      </w:r>
      <w:r w:rsidRPr="003F634E">
        <w:rPr>
          <w:rFonts w:cs="Arial"/>
          <w:b w:val="0"/>
        </w:rPr>
        <w:t xml:space="preserve"> in nitratnih (III) ionov NO</w:t>
      </w:r>
      <w:r w:rsidRPr="003F634E">
        <w:rPr>
          <w:rFonts w:cs="Arial"/>
          <w:b w:val="0"/>
          <w:vertAlign w:val="subscript"/>
        </w:rPr>
        <w:t>2</w:t>
      </w:r>
      <w:r w:rsidRPr="003F634E">
        <w:rPr>
          <w:rFonts w:cs="Arial"/>
          <w:b w:val="0"/>
          <w:vertAlign w:val="superscript"/>
        </w:rPr>
        <w:t>-</w:t>
      </w:r>
      <w:r w:rsidRPr="003F634E">
        <w:rPr>
          <w:rFonts w:cs="Arial"/>
          <w:b w:val="0"/>
        </w:rPr>
        <w:t xml:space="preserve"> ) na kilogram telesne teže. Nitrati sami po sebi niso strupeni. V ustih in želodcu bakterije pretvorijo nitratne(V) ione v</w:t>
      </w:r>
      <w:r w:rsidRPr="003F634E">
        <w:rPr>
          <w:rFonts w:cs="Arial"/>
        </w:rPr>
        <w:t xml:space="preserve"> </w:t>
      </w:r>
      <w:r w:rsidRPr="003F634E">
        <w:rPr>
          <w:rFonts w:cs="Arial"/>
          <w:b w:val="0"/>
        </w:rPr>
        <w:t>nitratne(III) ione. Ti pa zavirajo prenos kisika v krvi in lahko pri dojenčkih povzročijo dušenje. V prebavilih se nitratni(III) ioni spajajo tudi z beljakovinami in tvorijo rakotvorne nitrozamine.</w:t>
      </w:r>
    </w:p>
    <w:p w14:paraId="62E86CDA" w14:textId="77777777" w:rsidR="00A67AD0" w:rsidRPr="003F634E" w:rsidRDefault="00A67AD0">
      <w:pPr>
        <w:rPr>
          <w:rFonts w:cs="Arial"/>
        </w:rPr>
      </w:pPr>
    </w:p>
    <w:sectPr w:rsidR="00A67AD0" w:rsidRPr="003F634E">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356"/>
    <w:rsid w:val="0030663B"/>
    <w:rsid w:val="003F634E"/>
    <w:rsid w:val="00483356"/>
    <w:rsid w:val="00A67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83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ahoma" w:hAnsi="Tahoma"/>
      <w:b/>
      <w:sz w:val="48"/>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