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A032E" w:rsidRDefault="006A032E">
      <w:pPr>
        <w:jc w:val="both"/>
      </w:pPr>
      <w:bookmarkStart w:id="0" w:name="_GoBack"/>
      <w:bookmarkEnd w:id="0"/>
    </w:p>
    <w:p w:rsidR="006A032E" w:rsidRDefault="005270CF">
      <w:pPr>
        <w:jc w:val="center"/>
        <w:rPr>
          <w:color w:val="0000FF"/>
        </w:rPr>
      </w:pPr>
      <w:r>
        <w:rPr>
          <w:color w:val="0000FF"/>
        </w:rPr>
        <w:t>Kemijsko ravnotežje</w:t>
      </w:r>
    </w:p>
    <w:p w:rsidR="006A032E" w:rsidRDefault="006A032E">
      <w:pPr>
        <w:jc w:val="center"/>
        <w:rPr>
          <w:color w:val="666699"/>
        </w:rPr>
      </w:pPr>
    </w:p>
    <w:p w:rsidR="006A032E" w:rsidRDefault="005270CF">
      <w:pPr>
        <w:pBdr>
          <w:top w:val="single" w:sz="4" w:space="1" w:color="000000"/>
          <w:bottom w:val="single" w:sz="4" w:space="1" w:color="000000"/>
        </w:pBdr>
        <w:jc w:val="both"/>
        <w:rPr>
          <w:color w:val="666699"/>
        </w:rPr>
      </w:pPr>
      <w:r>
        <w:rPr>
          <w:color w:val="666699"/>
        </w:rPr>
        <w:t>Dinamično ravnotežje je stanje ravnotežnega sistema, v katerem sta hitrosti fizikalnih ali kemijskih sprememb v nasprotnih smereh enako veliki. Pri kemijskih reakcijah so reaktanti in produkti v dinamičnem ravnotežju, ko se njihova koncentracija ne spreminja več. Reaktanti se sicer še vedno pretvarjajo v produkte in produkti se v nasprotni reakciji še vedno pretvarjajo v reaktante, a je hitrost teh nasprotnih reakcij enako velika-reakciji potekata enako hitro.</w:t>
      </w:r>
    </w:p>
    <w:p w:rsidR="006A032E" w:rsidRDefault="005270CF">
      <w:pPr>
        <w:pBdr>
          <w:top w:val="single" w:sz="4" w:space="1" w:color="000000"/>
          <w:bottom w:val="single" w:sz="4" w:space="1" w:color="000000"/>
        </w:pBdr>
        <w:jc w:val="both"/>
        <w:rPr>
          <w:color w:val="666699"/>
        </w:rPr>
      </w:pPr>
      <w:r>
        <w:rPr>
          <w:color w:val="666699"/>
        </w:rPr>
        <w:t>Pri homogenem ravnotežju so vse snovi v enakih agregatnih stanjih, pri heterogenem ravnotežju se snovi nahajajo v različnih agregatnih stanjih. Izraz za ravnotežno konstanto Kc predstavlja razmerje med množinskimi koncentracijami produktov in reaktantov in po dogovoru nima enote. Zelo velika vrednost konstante pomeni, da v ravnotežju prevladujejo produkti (števec&gt;imenovalec). Zelo majhna vrednost konstante pomeni, da v ravnotežju prevladujejo reaktanti (števec&lt;imenovalec).</w:t>
      </w:r>
    </w:p>
    <w:p w:rsidR="006A032E" w:rsidRDefault="006A032E">
      <w:pPr>
        <w:jc w:val="center"/>
        <w:rPr>
          <w:color w:val="666699"/>
        </w:rPr>
      </w:pPr>
    </w:p>
    <w:p w:rsidR="006A032E" w:rsidRDefault="005270CF">
      <w:pPr>
        <w:jc w:val="both"/>
        <w:rPr>
          <w:color w:val="666699"/>
        </w:rPr>
      </w:pPr>
      <w:r>
        <w:rPr>
          <w:color w:val="666699"/>
        </w:rPr>
        <w:t>V zaprti steklenice gazirane pijače je koncentracija CO</w:t>
      </w:r>
      <w:r>
        <w:rPr>
          <w:color w:val="666699"/>
          <w:vertAlign w:val="subscript"/>
        </w:rPr>
        <w:t>2</w:t>
      </w:r>
      <w:r>
        <w:rPr>
          <w:color w:val="666699"/>
        </w:rPr>
        <w:t xml:space="preserve"> v tekočini ves čas enaka. Prav tako je ves čas enaka koncentracija CO</w:t>
      </w:r>
      <w:r>
        <w:rPr>
          <w:color w:val="666699"/>
          <w:vertAlign w:val="subscript"/>
        </w:rPr>
        <w:t xml:space="preserve">2 </w:t>
      </w:r>
      <w:r>
        <w:rPr>
          <w:color w:val="666699"/>
        </w:rPr>
        <w:t>nad tekočino. Med plinastim in raztopljenim CO</w:t>
      </w:r>
      <w:r>
        <w:rPr>
          <w:color w:val="666699"/>
          <w:vertAlign w:val="subscript"/>
        </w:rPr>
        <w:t xml:space="preserve">2 </w:t>
      </w:r>
      <w:r>
        <w:rPr>
          <w:color w:val="666699"/>
        </w:rPr>
        <w:t>je ravnotežje, ker se koncentraciji plinastega in raztopljenega CO</w:t>
      </w:r>
      <w:r>
        <w:rPr>
          <w:color w:val="666699"/>
          <w:vertAlign w:val="subscript"/>
        </w:rPr>
        <w:t>2</w:t>
      </w:r>
      <w:r>
        <w:rPr>
          <w:color w:val="666699"/>
        </w:rPr>
        <w:t xml:space="preserve"> nič ne spreminjata. V enakem času se določeno število molekul CO</w:t>
      </w:r>
      <w:r>
        <w:rPr>
          <w:color w:val="666699"/>
          <w:vertAlign w:val="subscript"/>
        </w:rPr>
        <w:t>2</w:t>
      </w:r>
      <w:r>
        <w:rPr>
          <w:color w:val="666699"/>
        </w:rPr>
        <w:t xml:space="preserve"> raztopi v tekočini in enako število molekul CO</w:t>
      </w:r>
      <w:r>
        <w:rPr>
          <w:color w:val="666699"/>
          <w:vertAlign w:val="subscript"/>
        </w:rPr>
        <w:t xml:space="preserve">2 </w:t>
      </w:r>
      <w:r>
        <w:rPr>
          <w:color w:val="666699"/>
        </w:rPr>
        <w:t>izpari iz tekočine. Raztapljanje in izhajanje CO</w:t>
      </w:r>
      <w:r>
        <w:rPr>
          <w:color w:val="666699"/>
          <w:vertAlign w:val="subscript"/>
        </w:rPr>
        <w:t>2</w:t>
      </w:r>
      <w:r>
        <w:rPr>
          <w:color w:val="666699"/>
        </w:rPr>
        <w:t xml:space="preserve"> potekata z enako hitrostjo. Tako sta plinasti in raztopljeni CO</w:t>
      </w:r>
      <w:r>
        <w:rPr>
          <w:color w:val="666699"/>
          <w:vertAlign w:val="subscript"/>
        </w:rPr>
        <w:t>2</w:t>
      </w:r>
      <w:r>
        <w:rPr>
          <w:color w:val="666699"/>
        </w:rPr>
        <w:t xml:space="preserve"> v DINAMIČNEM RAVNOTEŽJU.</w:t>
      </w:r>
    </w:p>
    <w:p w:rsidR="006A032E" w:rsidRDefault="006A032E">
      <w:pPr>
        <w:jc w:val="both"/>
        <w:rPr>
          <w:color w:val="666699"/>
        </w:rPr>
      </w:pPr>
    </w:p>
    <w:p w:rsidR="006A032E" w:rsidRDefault="005270CF">
      <w:pPr>
        <w:tabs>
          <w:tab w:val="left" w:pos="1380"/>
        </w:tabs>
        <w:jc w:val="center"/>
        <w:rPr>
          <w:color w:val="666699"/>
          <w:vertAlign w:val="subscript"/>
        </w:rPr>
      </w:pPr>
      <w:r>
        <w:rPr>
          <w:color w:val="666699"/>
        </w:rPr>
        <w:t>CO</w:t>
      </w:r>
      <w:r>
        <w:rPr>
          <w:color w:val="666699"/>
          <w:vertAlign w:val="subscript"/>
        </w:rPr>
        <w:t xml:space="preserve">2(g) </w:t>
      </w:r>
      <w:r>
        <w:rPr>
          <w:rFonts w:ascii="Symbol" w:hAnsi="Symbol"/>
          <w:color w:val="666699"/>
        </w:rPr>
        <w:t></w:t>
      </w:r>
      <w:r>
        <w:rPr>
          <w:color w:val="666699"/>
        </w:rPr>
        <w:t xml:space="preserve"> CO</w:t>
      </w:r>
      <w:r>
        <w:rPr>
          <w:color w:val="666699"/>
          <w:vertAlign w:val="subscript"/>
        </w:rPr>
        <w:t>2(aq)</w:t>
      </w:r>
    </w:p>
    <w:p w:rsidR="006A032E" w:rsidRDefault="006A032E">
      <w:pPr>
        <w:tabs>
          <w:tab w:val="left" w:pos="1380"/>
        </w:tabs>
        <w:jc w:val="center"/>
        <w:rPr>
          <w:color w:val="666699"/>
        </w:rPr>
      </w:pPr>
    </w:p>
    <w:p w:rsidR="006A032E" w:rsidRDefault="005270CF">
      <w:pPr>
        <w:tabs>
          <w:tab w:val="left" w:pos="1380"/>
        </w:tabs>
        <w:jc w:val="both"/>
        <w:rPr>
          <w:color w:val="666699"/>
        </w:rPr>
      </w:pPr>
      <w:r>
        <w:rPr>
          <w:color w:val="666699"/>
        </w:rPr>
        <w:t>Dinamično ravnotežje med plinastim in raztopljenim CO</w:t>
      </w:r>
      <w:r>
        <w:rPr>
          <w:color w:val="666699"/>
          <w:vertAlign w:val="subscript"/>
        </w:rPr>
        <w:t xml:space="preserve">2 </w:t>
      </w:r>
      <w:r>
        <w:rPr>
          <w:color w:val="666699"/>
        </w:rPr>
        <w:t>porušimo, ko steklenico gazirane pijače odpremo. Koncentracija CO</w:t>
      </w:r>
      <w:r>
        <w:rPr>
          <w:color w:val="666699"/>
          <w:vertAlign w:val="subscript"/>
        </w:rPr>
        <w:t xml:space="preserve">2 </w:t>
      </w:r>
      <w:r>
        <w:rPr>
          <w:color w:val="666699"/>
        </w:rPr>
        <w:t>v zraku nad tekočino se zmanjša in CO</w:t>
      </w:r>
      <w:r>
        <w:rPr>
          <w:color w:val="666699"/>
          <w:vertAlign w:val="subscript"/>
        </w:rPr>
        <w:t>2</w:t>
      </w:r>
      <w:r>
        <w:rPr>
          <w:color w:val="666699"/>
        </w:rPr>
        <w:t xml:space="preserve"> začne izhajati iz tekočine.</w:t>
      </w:r>
    </w:p>
    <w:p w:rsidR="006A032E" w:rsidRDefault="005270CF">
      <w:pPr>
        <w:tabs>
          <w:tab w:val="left" w:pos="1380"/>
        </w:tabs>
        <w:jc w:val="both"/>
        <w:rPr>
          <w:color w:val="666699"/>
        </w:rPr>
      </w:pPr>
      <w:r>
        <w:rPr>
          <w:color w:val="666699"/>
        </w:rPr>
        <w:t>Pri kemijski reakciji so produkti in reaktanti v ravnotežju, če se koncentracije reaktantov in produktov ne spreminjajo. Ravnotežje je dinamično, ker poteka reakcija v obeh smereh enako hitro.</w:t>
      </w:r>
    </w:p>
    <w:p w:rsidR="006A032E" w:rsidRDefault="006A032E">
      <w:pPr>
        <w:tabs>
          <w:tab w:val="left" w:pos="1380"/>
        </w:tabs>
        <w:jc w:val="both"/>
        <w:rPr>
          <w:color w:val="666699"/>
        </w:rPr>
      </w:pPr>
    </w:p>
    <w:p w:rsidR="006A032E" w:rsidRDefault="005270CF">
      <w:pPr>
        <w:tabs>
          <w:tab w:val="left" w:pos="1380"/>
        </w:tabs>
        <w:jc w:val="both"/>
        <w:rPr>
          <w:color w:val="666699"/>
        </w:rPr>
      </w:pPr>
      <w:r>
        <w:rPr>
          <w:color w:val="666699"/>
        </w:rPr>
        <w:t>Ko govorimo o ravnotežju neke reakcije, vedno mislimo na dinamično ravnotežje.</w:t>
      </w:r>
    </w:p>
    <w:p w:rsidR="006A032E" w:rsidRDefault="006A032E">
      <w:pPr>
        <w:tabs>
          <w:tab w:val="left" w:pos="1380"/>
        </w:tabs>
        <w:jc w:val="both"/>
        <w:rPr>
          <w:color w:val="666699"/>
        </w:rPr>
      </w:pPr>
    </w:p>
    <w:p w:rsidR="006A032E" w:rsidRDefault="00D06457">
      <w:pPr>
        <w:tabs>
          <w:tab w:val="left" w:pos="1380"/>
        </w:tabs>
        <w:jc w:val="both"/>
        <w:rPr>
          <w:color w:val="666699"/>
          <w:lang w:val="sl-SI"/>
        </w:rPr>
      </w:pPr>
      <w:r>
        <w:pict>
          <v:rect id="_x0000_s1026" style="position:absolute;left:0;text-align:left;margin-left:0;margin-top:0;width:324pt;height:207pt;z-index:251653632;mso-position-horizontal:absolute;mso-position-horizontal-relative:text;mso-position-vertical:absolute;mso-position-vertical-relative:text;v-text-anchor:middle" strokeweight=".26mm">
            <v:fill color2="black"/>
            <w10:wrap type="square" side="right"/>
          </v:rect>
        </w:pict>
      </w:r>
      <w:r>
        <w:pict>
          <v:line id="_x0000_s1027" style="position:absolute;left:0;text-align:left;z-index:251654656;mso-position-horizontal:absolute;mso-position-horizontal-relative:text;mso-position-vertical:absolute;mso-position-vertical-relative:text" from="27pt,160.2pt" to="4in,160.2pt" strokeweight=".26mm">
            <v:stroke endarrow="block" joinstyle="miter"/>
            <w10:wrap type="square" side="right"/>
          </v:line>
        </w:pict>
      </w:r>
      <w:r>
        <w:pict>
          <v:line id="_x0000_s1028" style="position:absolute;left:0;text-align:left;flip:y;z-index:251655680;mso-position-horizontal:absolute;mso-position-horizontal-relative:text;mso-position-vertical:absolute;mso-position-vertical-relative:text" from="36pt,25.2pt" to="36pt,169.2pt" strokeweight=".26mm">
            <v:stroke endarrow="block" joinstyle="miter"/>
            <w10:wrap type="square" side="right"/>
          </v:line>
        </w:pict>
      </w:r>
      <w:r>
        <w:pict>
          <v:shape id="_x0000_s1029" style="position:absolute;left:0;text-align:left;margin-left:36pt;margin-top:52.2pt;width:207pt;height:42pt;z-index:251656704;mso-position-horizontal:absolute;mso-position-horizontal-relative:text;mso-position-vertical:absolute;mso-position-vertical-relative:text;v-text-anchor:middle" coordsize="4140,840" path="m,c15,300,30,600,720,720v690,120,2850,,3420,e" filled="f" strokeweight=".26mm">
            <w10:wrap type="square" side="right"/>
          </v:shape>
        </w:pict>
      </w:r>
      <w:r>
        <w:pict>
          <v:shape id="_x0000_s1030" style="position:absolute;left:0;text-align:left;margin-left:28.5pt;margin-top:109.2pt;width:214.5pt;height:42pt;z-index:251657728;mso-position-horizontal:absolute;mso-position-horizontal-relative:text;mso-position-vertical:absolute;mso-position-vertical-relative:text;v-text-anchor:middle" coordsize="4290,840" path="m150,840c75,540,,240,690,120,1380,,2835,60,4290,120e" filled="f" strokeweight=".26mm">
            <w10:wrap type="square" side="righ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.5pt;margin-top:60.7pt;width:99.95pt;height:18.95pt;z-index:251658752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6A032E" w:rsidRDefault="005270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Koncentracija reaktantov</w:t>
                  </w:r>
                </w:p>
              </w:txbxContent>
            </v:textbox>
            <w10:wrap type="square" side="right"/>
          </v:shape>
        </w:pict>
      </w:r>
      <w:r>
        <w:pict>
          <v:shape id="_x0000_s1032" type="#_x0000_t202" style="position:absolute;left:0;text-align:left;margin-left:44.5pt;margin-top:123.7pt;width:99.95pt;height:18.95pt;z-index:251659776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6A032E" w:rsidRDefault="005270C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Koncentracija produktov</w:t>
                  </w:r>
                </w:p>
              </w:txbxContent>
            </v:textbox>
            <w10:wrap type="square" side="right"/>
          </v:shape>
        </w:pict>
      </w:r>
      <w:r>
        <w:pict>
          <v:group id="_x0000_s1033" style="position:absolute;left:0;text-align:left;margin-left:189pt;margin-top:16.2pt;width:99pt;height:1in;z-index:251660800;mso-wrap-distance-left:0;mso-wrap-distance-right:0" coordorigin="3780,324" coordsize="1980,1440">
            <o:lock v:ext="edit" text="t"/>
            <v:oval id="_x0000_s1034" style="position:absolute;left:3780;top:324;width:1980;height:1440;v-text-anchor:middle" stroked="f">
              <v:fill color2="black"/>
            </v:oval>
            <v:shape id="_x0000_s1035" type="#_x0000_t202" style="position:absolute;left:4073;top:537;width:1394;height:1014;v-text-anchor:middle" filled="f" stroked="f">
              <v:stroke joinstyle="round"/>
              <v:textbox style="mso-rotate-with-shape:t">
                <w:txbxContent>
                  <w:p w:rsidR="006A032E" w:rsidRDefault="005270CF">
                    <w:pPr>
                      <w:rPr>
                        <w:rFonts w:eastAsia="Times New Roman"/>
                        <w:sz w:val="16"/>
                        <w:szCs w:val="16"/>
                        <w:lang w:val="sl-SI" w:eastAsia="ar-SA"/>
                      </w:rPr>
                    </w:pPr>
                    <w:r>
                      <w:rPr>
                        <w:rFonts w:eastAsia="Times New Roman"/>
                        <w:sz w:val="16"/>
                        <w:szCs w:val="16"/>
                        <w:lang w:val="sl-SI" w:eastAsia="ar-SA"/>
                      </w:rPr>
                      <w:t>Koncentraciji se ne spreminjata. Vzpostavljeno je ravnotežje</w:t>
                    </w:r>
                  </w:p>
                </w:txbxContent>
              </v:textbox>
            </v:shape>
            <w10:wrap type="square" side="right"/>
          </v:group>
        </w:pict>
      </w: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6A032E">
      <w:pPr>
        <w:rPr>
          <w:color w:val="666699"/>
        </w:rPr>
      </w:pPr>
    </w:p>
    <w:p w:rsidR="006A032E" w:rsidRDefault="005270CF">
      <w:pPr>
        <w:tabs>
          <w:tab w:val="left" w:pos="3840"/>
        </w:tabs>
        <w:jc w:val="both"/>
        <w:rPr>
          <w:color w:val="666699"/>
        </w:rPr>
      </w:pPr>
      <w:r>
        <w:rPr>
          <w:color w:val="666699"/>
        </w:rPr>
        <w:t>Ni vseeno, koliko reaktantov ali produktov imamo v reakcijski zmesi na začetku, preden se v njej vzpostavi ravnotežje. Množine ali koncentracije reaktantov in produktov v ravnotežju niso enake, če so bile v reakcijski zmesi na začetku različne množine ali koncentracije reaktantov in produktov.</w:t>
      </w: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5270CF">
      <w:pPr>
        <w:tabs>
          <w:tab w:val="left" w:pos="3840"/>
        </w:tabs>
        <w:jc w:val="both"/>
        <w:rPr>
          <w:color w:val="666699"/>
        </w:rPr>
      </w:pPr>
      <w:r>
        <w:rPr>
          <w:color w:val="666699"/>
        </w:rPr>
        <w:t>Konstanta ravnotežja za določeno reakcijo ima pri določeni temperaturi konstantno vrednost. Če spremenimo temperaturo reakcijske zmesi, se spremeni tudi vrednost konstante ravnotežja.</w:t>
      </w: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D06457">
      <w:pPr>
        <w:tabs>
          <w:tab w:val="left" w:pos="3840"/>
        </w:tabs>
        <w:jc w:val="center"/>
        <w:rPr>
          <w:color w:val="0000FF"/>
        </w:rPr>
      </w:pPr>
      <w:r>
        <w:pict>
          <v:shape id="_x0000_s1036" type="#_x0000_t202" style="position:absolute;left:0;text-align:left;margin-left:-.5pt;margin-top:25.95pt;width:207.95pt;height:54.95pt;z-index:251661824;mso-wrap-distance-left:9.05pt;mso-wrap-distance-right:9.05pt;mso-position-horizontal:absolute;mso-position-horizontal-relative:text;mso-position-vertical:absolute;mso-position-vertical-relative:text" strokeweight=".5pt">
            <v:fill color2="black"/>
            <v:textbox inset="7.45pt,3.85pt,7.45pt,3.85pt">
              <w:txbxContent>
                <w:p w:rsidR="006A032E" w:rsidRDefault="005270CF">
                  <w:pPr>
                    <w:tabs>
                      <w:tab w:val="left" w:pos="3840"/>
                    </w:tabs>
                    <w:jc w:val="center"/>
                  </w:pPr>
                  <w:r>
                    <w:t xml:space="preserve">aA + bB </w:t>
                  </w:r>
                  <w:r>
                    <w:rPr>
                      <w:rFonts w:ascii="Symbol" w:hAnsi="Symbol"/>
                    </w:rPr>
                    <w:t></w:t>
                  </w:r>
                  <w:r>
                    <w:t xml:space="preserve"> cC + dD</w:t>
                  </w:r>
                </w:p>
                <w:p w:rsidR="006A032E" w:rsidRDefault="006A032E">
                  <w:pPr>
                    <w:tabs>
                      <w:tab w:val="left" w:pos="3840"/>
                    </w:tabs>
                    <w:jc w:val="center"/>
                  </w:pPr>
                </w:p>
                <w:p w:rsidR="006A032E" w:rsidRDefault="005270CF">
                  <w:pPr>
                    <w:tabs>
                      <w:tab w:val="left" w:pos="3840"/>
                    </w:tabs>
                    <w:jc w:val="center"/>
                    <w:rPr>
                      <w:vertAlign w:val="superscript"/>
                    </w:rPr>
                  </w:pPr>
                  <w:r>
                    <w:t xml:space="preserve">Kc = </w:t>
                  </w:r>
                  <w:r>
                    <w:rPr>
                      <w:rFonts w:ascii="Symbol" w:hAnsi="Symbol"/>
                    </w:rPr>
                    <w:t></w:t>
                  </w:r>
                  <w:r>
                    <w:t>C</w:t>
                  </w:r>
                  <w:r>
                    <w:rPr>
                      <w:rFonts w:ascii="Symbol" w:hAnsi="Symbol"/>
                    </w:rPr>
                    <w:t></w:t>
                  </w:r>
                  <w:r>
                    <w:rPr>
                      <w:vertAlign w:val="superscript"/>
                    </w:rPr>
                    <w:t>c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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</w:t>
                  </w:r>
                  <w:r>
                    <w:t>D</w:t>
                  </w:r>
                  <w:r>
                    <w:rPr>
                      <w:rFonts w:ascii="Symbol" w:hAnsi="Symbol"/>
                    </w:rPr>
                    <w:t></w:t>
                  </w:r>
                  <w:r>
                    <w:rPr>
                      <w:vertAlign w:val="superscript"/>
                    </w:rPr>
                    <w:t>d</w:t>
                  </w:r>
                  <w:r>
                    <w:t xml:space="preserve">/ </w:t>
                  </w:r>
                  <w:r>
                    <w:rPr>
                      <w:rFonts w:ascii="Symbol" w:hAnsi="Symbol"/>
                    </w:rPr>
                    <w:t></w:t>
                  </w:r>
                  <w:r>
                    <w:t>A</w:t>
                  </w:r>
                  <w:r>
                    <w:rPr>
                      <w:rFonts w:ascii="Symbol" w:hAnsi="Symbol"/>
                    </w:rPr>
                    <w:t></w:t>
                  </w:r>
                  <w:r>
                    <w:rPr>
                      <w:vertAlign w:val="superscript"/>
                    </w:rPr>
                    <w:t>a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</w:t>
                  </w:r>
                  <w:r>
                    <w:t xml:space="preserve"> </w:t>
                  </w:r>
                  <w:r>
                    <w:rPr>
                      <w:rFonts w:ascii="Symbol" w:hAnsi="Symbol"/>
                    </w:rPr>
                    <w:t></w:t>
                  </w:r>
                  <w:r>
                    <w:t>B</w:t>
                  </w:r>
                  <w:r>
                    <w:rPr>
                      <w:rFonts w:ascii="Symbol" w:hAnsi="Symbol"/>
                    </w:rPr>
                    <w:t></w:t>
                  </w:r>
                  <w:r>
                    <w:rPr>
                      <w:vertAlign w:val="superscript"/>
                    </w:rPr>
                    <w:t>b</w:t>
                  </w:r>
                </w:p>
                <w:p w:rsidR="006A032E" w:rsidRDefault="006A032E">
                  <w:pPr>
                    <w:jc w:val="center"/>
                  </w:pPr>
                </w:p>
              </w:txbxContent>
            </v:textbox>
            <w10:wrap type="square" side="right"/>
          </v:shape>
        </w:pict>
      </w:r>
      <w:r w:rsidR="005270CF">
        <w:rPr>
          <w:color w:val="0000FF"/>
        </w:rPr>
        <w:t>Zakon o vplivu koncentracije</w:t>
      </w:r>
    </w:p>
    <w:p w:rsidR="006A032E" w:rsidRDefault="006A032E">
      <w:pPr>
        <w:tabs>
          <w:tab w:val="left" w:pos="3840"/>
        </w:tabs>
        <w:jc w:val="both"/>
      </w:pPr>
    </w:p>
    <w:p w:rsidR="006A032E" w:rsidRDefault="006A032E">
      <w:pPr>
        <w:tabs>
          <w:tab w:val="left" w:pos="3840"/>
        </w:tabs>
        <w:jc w:val="both"/>
      </w:pPr>
    </w:p>
    <w:p w:rsidR="006A032E" w:rsidRDefault="006A032E">
      <w:pPr>
        <w:tabs>
          <w:tab w:val="left" w:pos="3840"/>
        </w:tabs>
        <w:jc w:val="both"/>
      </w:pPr>
    </w:p>
    <w:p w:rsidR="006A032E" w:rsidRDefault="006A032E">
      <w:pPr>
        <w:tabs>
          <w:tab w:val="left" w:pos="3840"/>
        </w:tabs>
        <w:jc w:val="both"/>
      </w:pPr>
    </w:p>
    <w:p w:rsidR="006A032E" w:rsidRDefault="006A032E">
      <w:pPr>
        <w:tabs>
          <w:tab w:val="left" w:pos="3840"/>
        </w:tabs>
        <w:jc w:val="both"/>
      </w:pPr>
    </w:p>
    <w:p w:rsidR="006A032E" w:rsidRDefault="006A032E">
      <w:pPr>
        <w:tabs>
          <w:tab w:val="left" w:pos="3840"/>
        </w:tabs>
        <w:jc w:val="both"/>
      </w:pPr>
    </w:p>
    <w:p w:rsidR="006A032E" w:rsidRDefault="005270CF">
      <w:pPr>
        <w:numPr>
          <w:ilvl w:val="0"/>
          <w:numId w:val="1"/>
        </w:numPr>
        <w:tabs>
          <w:tab w:val="left" w:pos="720"/>
          <w:tab w:val="left" w:pos="3840"/>
        </w:tabs>
        <w:jc w:val="both"/>
        <w:rPr>
          <w:color w:val="666699"/>
        </w:rPr>
      </w:pPr>
      <w:r>
        <w:rPr>
          <w:color w:val="666699"/>
        </w:rPr>
        <w:t>Če ima Kc zelo veliko vrednost, je ravnotežje reakcije skoraj povsem pomaknjeno v smeri tvorbe produktov.</w:t>
      </w:r>
    </w:p>
    <w:p w:rsidR="006A032E" w:rsidRDefault="005270CF">
      <w:pPr>
        <w:numPr>
          <w:ilvl w:val="0"/>
          <w:numId w:val="1"/>
        </w:numPr>
        <w:tabs>
          <w:tab w:val="left" w:pos="720"/>
          <w:tab w:val="left" w:pos="3840"/>
        </w:tabs>
        <w:jc w:val="both"/>
        <w:rPr>
          <w:color w:val="666699"/>
        </w:rPr>
      </w:pPr>
      <w:r>
        <w:rPr>
          <w:color w:val="666699"/>
        </w:rPr>
        <w:t>Kadar je Kc zelo majhna, nastane zelo malo produktov.</w:t>
      </w:r>
    </w:p>
    <w:p w:rsidR="006A032E" w:rsidRDefault="005270CF">
      <w:pPr>
        <w:numPr>
          <w:ilvl w:val="0"/>
          <w:numId w:val="1"/>
        </w:numPr>
        <w:tabs>
          <w:tab w:val="left" w:pos="720"/>
          <w:tab w:val="left" w:pos="3840"/>
        </w:tabs>
        <w:jc w:val="both"/>
        <w:rPr>
          <w:color w:val="666699"/>
        </w:rPr>
      </w:pPr>
      <w:r>
        <w:rPr>
          <w:color w:val="666699"/>
        </w:rPr>
        <w:t>Kadar ima Kc vrednost K</w:t>
      </w:r>
      <w:r>
        <w:rPr>
          <w:rFonts w:ascii="Symbol" w:hAnsi="Symbol"/>
          <w:color w:val="666699"/>
        </w:rPr>
        <w:t></w:t>
      </w:r>
      <w:r>
        <w:rPr>
          <w:color w:val="666699"/>
        </w:rPr>
        <w:t>1 so v ravnotežni zmesi znatne koncentracije in reaktantov in produktov.</w:t>
      </w: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6A032E">
      <w:pPr>
        <w:tabs>
          <w:tab w:val="left" w:pos="3840"/>
        </w:tabs>
        <w:jc w:val="both"/>
        <w:rPr>
          <w:color w:val="666699"/>
        </w:rPr>
      </w:pPr>
    </w:p>
    <w:p w:rsidR="006A032E" w:rsidRDefault="00D06457">
      <w:pPr>
        <w:tabs>
          <w:tab w:val="left" w:pos="3840"/>
        </w:tabs>
        <w:jc w:val="both"/>
      </w:pPr>
      <w:r>
        <w:rPr>
          <w:color w:val="66669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75pt;height:7.5pt" filled="t">
            <v:fill color2="black"/>
            <v:imagedata r:id="rId5" o:title=""/>
          </v:shape>
        </w:pict>
      </w:r>
    </w:p>
    <w:p w:rsidR="006A032E" w:rsidRDefault="006A032E">
      <w:pPr>
        <w:tabs>
          <w:tab w:val="left" w:pos="3840"/>
        </w:tabs>
        <w:jc w:val="both"/>
      </w:pPr>
    </w:p>
    <w:p w:rsidR="006A032E" w:rsidRDefault="005270CF">
      <w:pPr>
        <w:tabs>
          <w:tab w:val="left" w:pos="3840"/>
        </w:tabs>
        <w:jc w:val="center"/>
        <w:rPr>
          <w:color w:val="0000FF"/>
        </w:rPr>
      </w:pPr>
      <w:r>
        <w:rPr>
          <w:color w:val="0000FF"/>
        </w:rPr>
        <w:t>Segrevanje snovi</w:t>
      </w:r>
    </w:p>
    <w:p w:rsidR="006A032E" w:rsidRDefault="005270CF">
      <w:pPr>
        <w:tabs>
          <w:tab w:val="left" w:pos="3840"/>
        </w:tabs>
        <w:jc w:val="both"/>
      </w:pPr>
      <w:r>
        <w:rPr>
          <w:color w:val="666699"/>
        </w:rPr>
        <w:t>Toplota je energija, ki se prenaša s toplejšega na hladnejše telo. Količina energije, ki jo potrebujemo za segrevanje snovi, je odvisna od mase in vrste snovi ter od spremembe temperature.</w:t>
      </w:r>
    </w:p>
    <w:sectPr w:rsidR="006A032E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270CF"/>
    <w:rsid w:val="005270CF"/>
    <w:rsid w:val="006A032E"/>
    <w:rsid w:val="00D0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color w:val="auto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