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3"/>
        <w:gridCol w:w="692"/>
        <w:gridCol w:w="1383"/>
        <w:gridCol w:w="1383"/>
        <w:gridCol w:w="746"/>
        <w:gridCol w:w="747"/>
        <w:gridCol w:w="1494"/>
      </w:tblGrid>
      <w:tr w:rsidR="006954A9">
        <w:trPr>
          <w:trHeight w:val="135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954A9" w:rsidRDefault="00894AC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KOROZIJA KOVIN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13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954A9" w:rsidRDefault="00894AC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KEMIJSKI PROCES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954A9" w:rsidRDefault="00894AC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ELEKTROKEMIJSKI PROCES</w:t>
            </w:r>
          </w:p>
        </w:tc>
      </w:tr>
      <w:tr w:rsidR="006954A9">
        <w:trPr>
          <w:trHeight w:val="38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954A9" w:rsidRDefault="00894A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težnja kovin za stabilnim stanjem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954A9" w:rsidRDefault="00894A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položaj kovine v redoks vrsti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rPr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4A9" w:rsidRDefault="006954A9">
            <w:pPr>
              <w:jc w:val="center"/>
              <w:rPr>
                <w:szCs w:val="20"/>
              </w:rPr>
            </w:pPr>
          </w:p>
        </w:tc>
      </w:tr>
      <w:tr w:rsidR="006954A9">
        <w:trPr>
          <w:trHeight w:val="38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954A9" w:rsidRDefault="00894A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žlahtne kovine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6954A9" w:rsidRDefault="00894A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pol žlahtne kovine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6954A9" w:rsidRDefault="00894A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 žlahtne kovine</w:t>
            </w:r>
          </w:p>
        </w:tc>
      </w:tr>
    </w:tbl>
    <w:p w:rsidR="006954A9" w:rsidRDefault="006954A9">
      <w:pPr>
        <w:rPr>
          <w:szCs w:val="20"/>
        </w:rPr>
      </w:pPr>
    </w:p>
    <w:p w:rsidR="006954A9" w:rsidRDefault="00894AC5">
      <w:pPr>
        <w:rPr>
          <w:b/>
          <w:szCs w:val="20"/>
        </w:rPr>
      </w:pPr>
      <w:r>
        <w:rPr>
          <w:b/>
          <w:szCs w:val="20"/>
          <w:highlight w:val="yellow"/>
        </w:rPr>
        <w:t>ZAŠČITA KOVIN PRED KOROZIJO</w:t>
      </w:r>
    </w:p>
    <w:p w:rsidR="006954A9" w:rsidRDefault="00894AC5">
      <w:pPr>
        <w:numPr>
          <w:ilvl w:val="1"/>
          <w:numId w:val="2"/>
        </w:numPr>
        <w:tabs>
          <w:tab w:val="num" w:pos="720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KOVINSKE PREVLEKE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potapljanje v raztaljeno kovino (pocinkanje, pokositranje)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obrizganje s kovino (metaliziranje)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navaljanje obstojnejše kovine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galvaniziranje (cinkanje, kositranje, …)</w:t>
      </w:r>
    </w:p>
    <w:p w:rsidR="006954A9" w:rsidRDefault="006954A9">
      <w:pPr>
        <w:rPr>
          <w:szCs w:val="20"/>
        </w:rPr>
      </w:pPr>
    </w:p>
    <w:p w:rsidR="006954A9" w:rsidRDefault="00894AC5">
      <w:pPr>
        <w:numPr>
          <w:ilvl w:val="1"/>
          <w:numId w:val="2"/>
        </w:numPr>
        <w:tabs>
          <w:tab w:val="num" w:pos="720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ANORGANSKE PREVLEKE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emajli (posoda)</w:t>
      </w:r>
    </w:p>
    <w:p w:rsidR="006954A9" w:rsidRDefault="006954A9">
      <w:pPr>
        <w:rPr>
          <w:szCs w:val="20"/>
        </w:rPr>
      </w:pPr>
    </w:p>
    <w:p w:rsidR="006954A9" w:rsidRDefault="00894AC5">
      <w:pPr>
        <w:numPr>
          <w:ilvl w:val="1"/>
          <w:numId w:val="2"/>
        </w:numPr>
        <w:tabs>
          <w:tab w:val="num" w:pos="720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ORGANSKE PREVLEKE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guma, bitumen, barve, laki, sintetične mase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premazovanje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brizganje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potapljanje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prelivanje</w:t>
      </w:r>
    </w:p>
    <w:p w:rsidR="006954A9" w:rsidRDefault="006954A9">
      <w:pPr>
        <w:rPr>
          <w:szCs w:val="20"/>
        </w:rPr>
      </w:pPr>
    </w:p>
    <w:p w:rsidR="006954A9" w:rsidRDefault="00894AC5">
      <w:pPr>
        <w:numPr>
          <w:ilvl w:val="1"/>
          <w:numId w:val="2"/>
        </w:numPr>
        <w:tabs>
          <w:tab w:val="num" w:pos="720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t>KEMIJSKE PREVLEKE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eloksiranje (anodna oksidacija aluminija)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brumiranje (zaščitna oksidacija železa</w:t>
      </w:r>
    </w:p>
    <w:p w:rsidR="006954A9" w:rsidRDefault="00894AC5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fosfatiranje (zaščita železa)</w:t>
      </w:r>
    </w:p>
    <w:p w:rsidR="006954A9" w:rsidRDefault="006954A9"/>
    <w:sectPr w:rsidR="00695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6F1"/>
    <w:multiLevelType w:val="hybridMultilevel"/>
    <w:tmpl w:val="7FBE230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AC5"/>
    <w:rsid w:val="006954A9"/>
    <w:rsid w:val="00894AC5"/>
    <w:rsid w:val="00A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