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9631" w14:textId="77777777" w:rsidR="001469E0" w:rsidRDefault="001469E0">
      <w:pPr>
        <w:pBdr>
          <w:top w:val="single" w:sz="4" w:space="1" w:color="auto"/>
          <w:left w:val="single" w:sz="4" w:space="4" w:color="auto"/>
          <w:bottom w:val="single" w:sz="4" w:space="1" w:color="auto"/>
          <w:right w:val="single" w:sz="4" w:space="4" w:color="auto"/>
        </w:pBdr>
        <w:jc w:val="center"/>
      </w:pPr>
      <w:bookmarkStart w:id="0" w:name="_GoBack"/>
      <w:bookmarkEnd w:id="0"/>
    </w:p>
    <w:p w14:paraId="1709C135" w14:textId="178FD8DF" w:rsidR="0059090D" w:rsidRDefault="0065772A">
      <w:pPr>
        <w:pBdr>
          <w:top w:val="single" w:sz="4" w:space="1" w:color="auto"/>
          <w:left w:val="single" w:sz="4" w:space="4" w:color="auto"/>
          <w:bottom w:val="single" w:sz="4" w:space="1" w:color="auto"/>
          <w:right w:val="single" w:sz="4" w:space="4" w:color="auto"/>
        </w:pBdr>
        <w:jc w:val="center"/>
      </w:pPr>
      <w:r>
        <w:t>5. vaja: Določanje tališča</w:t>
      </w:r>
    </w:p>
    <w:p w14:paraId="6C45D2E3" w14:textId="0F455676" w:rsidR="0059090D" w:rsidRDefault="001469E0">
      <w:pPr>
        <w:pBdr>
          <w:top w:val="single" w:sz="4" w:space="1" w:color="auto"/>
          <w:left w:val="single" w:sz="4" w:space="4" w:color="auto"/>
          <w:bottom w:val="single" w:sz="4" w:space="1" w:color="auto"/>
          <w:right w:val="single" w:sz="4" w:space="4" w:color="auto"/>
        </w:pBdr>
      </w:pPr>
      <w:r>
        <w:t xml:space="preserve"> </w:t>
      </w:r>
    </w:p>
    <w:p w14:paraId="4DB836FD" w14:textId="77777777" w:rsidR="0059090D" w:rsidRDefault="0059090D"/>
    <w:p w14:paraId="2F2270BC" w14:textId="77777777" w:rsidR="0059090D" w:rsidRDefault="0059090D"/>
    <w:p w14:paraId="574BBA8E" w14:textId="77777777" w:rsidR="0059090D" w:rsidRDefault="0065772A">
      <w:pPr>
        <w:numPr>
          <w:ilvl w:val="0"/>
          <w:numId w:val="1"/>
        </w:numPr>
        <w:rPr>
          <w:b/>
          <w:i/>
        </w:rPr>
      </w:pPr>
      <w:r>
        <w:rPr>
          <w:b/>
          <w:i/>
        </w:rPr>
        <w:t>Naloga</w:t>
      </w:r>
    </w:p>
    <w:p w14:paraId="0F40C6C2" w14:textId="77777777" w:rsidR="0059090D" w:rsidRDefault="0065772A">
      <w:pPr>
        <w:ind w:left="360"/>
        <w:rPr>
          <w:b/>
          <w:i/>
        </w:rPr>
      </w:pPr>
      <w:r>
        <w:t>Naša naloga je bila določiti tališče vzorca, se pravi sečnine, s pomočjo Thielejevega aparata.</w:t>
      </w:r>
    </w:p>
    <w:p w14:paraId="4315CCE7" w14:textId="77777777" w:rsidR="0059090D" w:rsidRDefault="0065772A">
      <w:pPr>
        <w:numPr>
          <w:ilvl w:val="0"/>
          <w:numId w:val="1"/>
        </w:numPr>
        <w:rPr>
          <w:b/>
          <w:i/>
        </w:rPr>
      </w:pPr>
      <w:r>
        <w:rPr>
          <w:b/>
          <w:i/>
        </w:rPr>
        <w:t>Delo</w:t>
      </w:r>
    </w:p>
    <w:p w14:paraId="36629E3F" w14:textId="77777777" w:rsidR="0059090D" w:rsidRDefault="0065772A">
      <w:pPr>
        <w:pStyle w:val="BodyTextIndent"/>
        <w:numPr>
          <w:ilvl w:val="0"/>
          <w:numId w:val="2"/>
        </w:numPr>
        <w:tabs>
          <w:tab w:val="clear" w:pos="360"/>
          <w:tab w:val="num" w:pos="720"/>
        </w:tabs>
        <w:ind w:left="720"/>
      </w:pPr>
      <w:r>
        <w:t>Kapilaro smo napolnili s substanco (sečnino), ki smo jo v terilnici dobro uprašili. Z odprtim delom kapilare smo nabrali vzorec iz terilnice. Vzorec smo zbili na dno kapilare tako, da smo jo spuščali skozi stekleno cevko.  Vzorca na dnu kapilare smo nabrali za približno 5 mm.</w:t>
      </w:r>
    </w:p>
    <w:p w14:paraId="005DB90C" w14:textId="77777777" w:rsidR="0059090D" w:rsidRDefault="0065772A">
      <w:pPr>
        <w:pStyle w:val="BodyTextIndent"/>
        <w:numPr>
          <w:ilvl w:val="0"/>
          <w:numId w:val="2"/>
        </w:numPr>
        <w:tabs>
          <w:tab w:val="clear" w:pos="360"/>
          <w:tab w:val="num" w:pos="720"/>
        </w:tabs>
        <w:ind w:left="720"/>
      </w:pPr>
      <w:r>
        <w:t>Z gumico smo pritrdili kapilaro ob termometer tako, da leži dno kapilare ob rezervoarju živega srebra. Gumica pa je bila nad gladino olja. Spodnji del termometra je segal do zgornjega kraka Thielejevega aparata.</w:t>
      </w:r>
    </w:p>
    <w:p w14:paraId="2690B2E4" w14:textId="77777777" w:rsidR="0059090D" w:rsidRDefault="0065772A">
      <w:pPr>
        <w:pStyle w:val="BodyTextIndent"/>
        <w:numPr>
          <w:ilvl w:val="0"/>
          <w:numId w:val="2"/>
        </w:numPr>
        <w:tabs>
          <w:tab w:val="clear" w:pos="360"/>
          <w:tab w:val="num" w:pos="720"/>
        </w:tabs>
        <w:ind w:left="720"/>
      </w:pPr>
      <w:r>
        <w:t xml:space="preserve">Gorilnik smo držali v roki ter pomikali plamen ob kolenu sem ter tja. Olje je stalno krožilo. Proti koncu smo segrevali zelo počasi, največ 2°C na minuto, da se je sproti izenačevala temperatura v kapilari s temperaturo kopeli. </w:t>
      </w:r>
    </w:p>
    <w:p w14:paraId="182B8AC8" w14:textId="77777777" w:rsidR="0059090D" w:rsidRDefault="0065772A">
      <w:pPr>
        <w:pStyle w:val="BodyTextIndent"/>
        <w:numPr>
          <w:ilvl w:val="0"/>
          <w:numId w:val="2"/>
        </w:numPr>
        <w:tabs>
          <w:tab w:val="clear" w:pos="360"/>
          <w:tab w:val="num" w:pos="720"/>
        </w:tabs>
        <w:ind w:left="720"/>
      </w:pPr>
      <w:r>
        <w:t>Zabeležili smo temperaturo začetka taljenja in temperaturo, ko je vse staljeno. Opravili smo več meritev.</w:t>
      </w:r>
    </w:p>
    <w:p w14:paraId="5977D420" w14:textId="77777777" w:rsidR="0059090D" w:rsidRDefault="0059090D">
      <w:pPr>
        <w:rPr>
          <w:b/>
          <w:i/>
        </w:rPr>
      </w:pPr>
    </w:p>
    <w:p w14:paraId="6511B5AD" w14:textId="77777777" w:rsidR="0059090D" w:rsidRDefault="0065772A">
      <w:pPr>
        <w:numPr>
          <w:ilvl w:val="0"/>
          <w:numId w:val="1"/>
        </w:numPr>
        <w:rPr>
          <w:b/>
          <w:i/>
        </w:rPr>
      </w:pPr>
      <w:r>
        <w:rPr>
          <w:b/>
          <w:i/>
        </w:rPr>
        <w:t>Meritve</w:t>
      </w:r>
      <w:r>
        <w:rPr>
          <w:b/>
          <w:i/>
        </w:rPr>
        <w:tab/>
      </w:r>
    </w:p>
    <w:p w14:paraId="737396D2" w14:textId="77777777" w:rsidR="0059090D" w:rsidRDefault="0065772A">
      <w:pPr>
        <w:ind w:left="2832"/>
        <w:rPr>
          <w:i/>
          <w:sz w:val="24"/>
        </w:rPr>
      </w:pPr>
      <w:r>
        <w:rPr>
          <w:i/>
        </w:rPr>
        <w:t xml:space="preserve">  </w:t>
      </w:r>
      <w:r>
        <w:rPr>
          <w:i/>
          <w:sz w:val="24"/>
        </w:rPr>
        <w:t>O</w:t>
      </w:r>
    </w:p>
    <w:p w14:paraId="346DE27D" w14:textId="77777777" w:rsidR="0059090D" w:rsidRDefault="0065772A">
      <w:pPr>
        <w:ind w:left="2832"/>
      </w:pPr>
      <w:r>
        <w:t xml:space="preserve">  </w:t>
      </w:r>
    </w:p>
    <w:p w14:paraId="769693F9" w14:textId="77777777" w:rsidR="0059090D" w:rsidRDefault="0065772A">
      <w:pPr>
        <w:ind w:left="2124"/>
      </w:pPr>
      <w:r>
        <w:rPr>
          <w:position w:val="-10"/>
        </w:rPr>
        <w:object w:dxaOrig="1620" w:dyaOrig="340" w14:anchorId="5C83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7.25pt" o:ole="" fillcolor="window">
            <v:imagedata r:id="rId5" o:title=""/>
          </v:shape>
          <o:OLEObject Type="Embed" ProgID="Equation.3" ShapeID="_x0000_i1025" DrawAspect="Content" ObjectID="_1618906678" r:id="rId6"/>
        </w:objec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322"/>
        <w:gridCol w:w="2322"/>
        <w:gridCol w:w="2322"/>
        <w:gridCol w:w="2322"/>
      </w:tblGrid>
      <w:tr w:rsidR="0059090D" w14:paraId="4240B1B7" w14:textId="77777777">
        <w:tc>
          <w:tcPr>
            <w:tcW w:w="2322" w:type="dxa"/>
            <w:tcBorders>
              <w:top w:val="single" w:sz="4" w:space="0" w:color="auto"/>
              <w:left w:val="nil"/>
              <w:bottom w:val="nil"/>
              <w:right w:val="single" w:sz="4" w:space="0" w:color="auto"/>
            </w:tcBorders>
          </w:tcPr>
          <w:p w14:paraId="09B7AB00" w14:textId="77777777" w:rsidR="0059090D" w:rsidRDefault="0065772A">
            <w:r>
              <w:t>Meritev</w:t>
            </w:r>
          </w:p>
        </w:tc>
        <w:tc>
          <w:tcPr>
            <w:tcW w:w="2322" w:type="dxa"/>
            <w:tcBorders>
              <w:top w:val="single" w:sz="4" w:space="0" w:color="auto"/>
              <w:left w:val="single" w:sz="4" w:space="0" w:color="auto"/>
              <w:bottom w:val="nil"/>
              <w:right w:val="single" w:sz="4" w:space="0" w:color="auto"/>
            </w:tcBorders>
          </w:tcPr>
          <w:p w14:paraId="6627D612" w14:textId="77777777" w:rsidR="0059090D" w:rsidRDefault="0065772A">
            <w:r>
              <w:t>Začetek taljenja</w:t>
            </w:r>
          </w:p>
        </w:tc>
        <w:tc>
          <w:tcPr>
            <w:tcW w:w="2322" w:type="dxa"/>
            <w:tcBorders>
              <w:top w:val="single" w:sz="4" w:space="0" w:color="auto"/>
              <w:left w:val="nil"/>
              <w:bottom w:val="nil"/>
              <w:right w:val="nil"/>
            </w:tcBorders>
          </w:tcPr>
          <w:p w14:paraId="214C5DC9" w14:textId="77777777" w:rsidR="0059090D" w:rsidRDefault="0065772A">
            <w:r>
              <w:t>Popolna talina</w:t>
            </w:r>
          </w:p>
        </w:tc>
        <w:tc>
          <w:tcPr>
            <w:tcW w:w="2322" w:type="dxa"/>
            <w:tcBorders>
              <w:top w:val="single" w:sz="4" w:space="0" w:color="auto"/>
              <w:left w:val="single" w:sz="4" w:space="0" w:color="auto"/>
              <w:bottom w:val="nil"/>
            </w:tcBorders>
          </w:tcPr>
          <w:p w14:paraId="09B6BB6B" w14:textId="77777777" w:rsidR="0059090D" w:rsidRDefault="0065772A">
            <w:r>
              <w:t>Interval taljenja</w:t>
            </w:r>
          </w:p>
        </w:tc>
      </w:tr>
      <w:tr w:rsidR="0059090D" w14:paraId="4A822972" w14:textId="77777777">
        <w:tc>
          <w:tcPr>
            <w:tcW w:w="2322" w:type="dxa"/>
            <w:tcBorders>
              <w:top w:val="single" w:sz="4" w:space="0" w:color="auto"/>
              <w:left w:val="single" w:sz="4" w:space="0" w:color="auto"/>
              <w:bottom w:val="single" w:sz="4" w:space="0" w:color="auto"/>
              <w:right w:val="single" w:sz="4" w:space="0" w:color="auto"/>
            </w:tcBorders>
          </w:tcPr>
          <w:p w14:paraId="46EE9C03" w14:textId="77777777" w:rsidR="0059090D" w:rsidRDefault="0065772A">
            <w:r>
              <w:t>1</w:t>
            </w:r>
          </w:p>
        </w:tc>
        <w:tc>
          <w:tcPr>
            <w:tcW w:w="2322" w:type="dxa"/>
            <w:tcBorders>
              <w:top w:val="single" w:sz="4" w:space="0" w:color="auto"/>
              <w:left w:val="single" w:sz="4" w:space="0" w:color="auto"/>
              <w:bottom w:val="single" w:sz="4" w:space="0" w:color="auto"/>
              <w:right w:val="single" w:sz="4" w:space="0" w:color="auto"/>
            </w:tcBorders>
          </w:tcPr>
          <w:p w14:paraId="4AE3F375" w14:textId="77777777" w:rsidR="0059090D" w:rsidRDefault="0065772A">
            <w:r>
              <w:t>122</w:t>
            </w:r>
          </w:p>
        </w:tc>
        <w:tc>
          <w:tcPr>
            <w:tcW w:w="2322" w:type="dxa"/>
            <w:tcBorders>
              <w:top w:val="single" w:sz="4" w:space="0" w:color="auto"/>
              <w:left w:val="single" w:sz="4" w:space="0" w:color="auto"/>
              <w:bottom w:val="single" w:sz="4" w:space="0" w:color="auto"/>
              <w:right w:val="single" w:sz="4" w:space="0" w:color="auto"/>
            </w:tcBorders>
          </w:tcPr>
          <w:p w14:paraId="25FFBD93" w14:textId="77777777" w:rsidR="0059090D" w:rsidRDefault="0065772A">
            <w:r>
              <w:t>123</w:t>
            </w:r>
          </w:p>
        </w:tc>
        <w:tc>
          <w:tcPr>
            <w:tcW w:w="2322" w:type="dxa"/>
            <w:tcBorders>
              <w:top w:val="single" w:sz="4" w:space="0" w:color="auto"/>
              <w:left w:val="single" w:sz="4" w:space="0" w:color="auto"/>
              <w:bottom w:val="single" w:sz="4" w:space="0" w:color="auto"/>
              <w:right w:val="single" w:sz="4" w:space="0" w:color="auto"/>
            </w:tcBorders>
          </w:tcPr>
          <w:p w14:paraId="5F1883B9" w14:textId="77777777" w:rsidR="0059090D" w:rsidRDefault="0065772A">
            <w:r>
              <w:t>1</w:t>
            </w:r>
          </w:p>
        </w:tc>
      </w:tr>
      <w:tr w:rsidR="0059090D" w14:paraId="39FA04C1" w14:textId="77777777">
        <w:tc>
          <w:tcPr>
            <w:tcW w:w="2322" w:type="dxa"/>
            <w:tcBorders>
              <w:top w:val="single" w:sz="4" w:space="0" w:color="auto"/>
              <w:left w:val="single" w:sz="4" w:space="0" w:color="auto"/>
              <w:bottom w:val="single" w:sz="4" w:space="0" w:color="auto"/>
              <w:right w:val="single" w:sz="4" w:space="0" w:color="auto"/>
            </w:tcBorders>
          </w:tcPr>
          <w:p w14:paraId="7E7CE110" w14:textId="77777777" w:rsidR="0059090D" w:rsidRDefault="0065772A">
            <w:r>
              <w:t>2</w:t>
            </w:r>
          </w:p>
        </w:tc>
        <w:tc>
          <w:tcPr>
            <w:tcW w:w="2322" w:type="dxa"/>
            <w:tcBorders>
              <w:top w:val="single" w:sz="4" w:space="0" w:color="auto"/>
              <w:left w:val="single" w:sz="4" w:space="0" w:color="auto"/>
              <w:bottom w:val="single" w:sz="4" w:space="0" w:color="auto"/>
              <w:right w:val="single" w:sz="4" w:space="0" w:color="auto"/>
            </w:tcBorders>
          </w:tcPr>
          <w:p w14:paraId="17D31D2C" w14:textId="77777777" w:rsidR="0059090D" w:rsidRDefault="0065772A">
            <w:r>
              <w:t>125</w:t>
            </w:r>
          </w:p>
        </w:tc>
        <w:tc>
          <w:tcPr>
            <w:tcW w:w="2322" w:type="dxa"/>
            <w:tcBorders>
              <w:top w:val="single" w:sz="4" w:space="0" w:color="auto"/>
              <w:left w:val="single" w:sz="4" w:space="0" w:color="auto"/>
              <w:bottom w:val="single" w:sz="4" w:space="0" w:color="auto"/>
              <w:right w:val="single" w:sz="4" w:space="0" w:color="auto"/>
            </w:tcBorders>
          </w:tcPr>
          <w:p w14:paraId="1912EC4A" w14:textId="77777777" w:rsidR="0059090D" w:rsidRDefault="0065772A">
            <w:r>
              <w:t>126</w:t>
            </w:r>
          </w:p>
        </w:tc>
        <w:tc>
          <w:tcPr>
            <w:tcW w:w="2322" w:type="dxa"/>
            <w:tcBorders>
              <w:top w:val="single" w:sz="4" w:space="0" w:color="auto"/>
              <w:left w:val="single" w:sz="4" w:space="0" w:color="auto"/>
              <w:bottom w:val="single" w:sz="4" w:space="0" w:color="auto"/>
              <w:right w:val="single" w:sz="4" w:space="0" w:color="auto"/>
            </w:tcBorders>
          </w:tcPr>
          <w:p w14:paraId="05FF9B6B" w14:textId="77777777" w:rsidR="0059090D" w:rsidRDefault="0065772A">
            <w:r>
              <w:t>1</w:t>
            </w:r>
          </w:p>
        </w:tc>
      </w:tr>
      <w:tr w:rsidR="0059090D" w14:paraId="1684D2A3" w14:textId="77777777">
        <w:tc>
          <w:tcPr>
            <w:tcW w:w="2322" w:type="dxa"/>
            <w:tcBorders>
              <w:top w:val="single" w:sz="4" w:space="0" w:color="auto"/>
              <w:left w:val="single" w:sz="4" w:space="0" w:color="auto"/>
              <w:bottom w:val="single" w:sz="4" w:space="0" w:color="auto"/>
              <w:right w:val="single" w:sz="4" w:space="0" w:color="auto"/>
            </w:tcBorders>
          </w:tcPr>
          <w:p w14:paraId="47953262" w14:textId="77777777" w:rsidR="0059090D" w:rsidRDefault="0065772A">
            <w:r>
              <w:t>3</w:t>
            </w:r>
          </w:p>
        </w:tc>
        <w:tc>
          <w:tcPr>
            <w:tcW w:w="2322" w:type="dxa"/>
            <w:tcBorders>
              <w:top w:val="single" w:sz="4" w:space="0" w:color="auto"/>
              <w:left w:val="single" w:sz="4" w:space="0" w:color="auto"/>
              <w:bottom w:val="single" w:sz="4" w:space="0" w:color="auto"/>
              <w:right w:val="single" w:sz="4" w:space="0" w:color="auto"/>
            </w:tcBorders>
          </w:tcPr>
          <w:p w14:paraId="41BAC460" w14:textId="77777777" w:rsidR="0059090D" w:rsidRDefault="0065772A">
            <w:r>
              <w:t>127</w:t>
            </w:r>
          </w:p>
        </w:tc>
        <w:tc>
          <w:tcPr>
            <w:tcW w:w="2322" w:type="dxa"/>
            <w:tcBorders>
              <w:top w:val="single" w:sz="4" w:space="0" w:color="auto"/>
              <w:left w:val="single" w:sz="4" w:space="0" w:color="auto"/>
              <w:bottom w:val="single" w:sz="4" w:space="0" w:color="auto"/>
              <w:right w:val="single" w:sz="4" w:space="0" w:color="auto"/>
            </w:tcBorders>
          </w:tcPr>
          <w:p w14:paraId="350C6A7F" w14:textId="77777777" w:rsidR="0059090D" w:rsidRDefault="0065772A">
            <w:r>
              <w:t>129</w:t>
            </w:r>
          </w:p>
        </w:tc>
        <w:tc>
          <w:tcPr>
            <w:tcW w:w="2322" w:type="dxa"/>
            <w:tcBorders>
              <w:top w:val="single" w:sz="4" w:space="0" w:color="auto"/>
              <w:left w:val="single" w:sz="4" w:space="0" w:color="auto"/>
              <w:bottom w:val="single" w:sz="4" w:space="0" w:color="auto"/>
              <w:right w:val="single" w:sz="4" w:space="0" w:color="auto"/>
            </w:tcBorders>
          </w:tcPr>
          <w:p w14:paraId="385E58E3" w14:textId="77777777" w:rsidR="0059090D" w:rsidRDefault="0065772A">
            <w:r>
              <w:t>2</w:t>
            </w:r>
          </w:p>
        </w:tc>
      </w:tr>
      <w:tr w:rsidR="0059090D" w14:paraId="60E0A103" w14:textId="77777777">
        <w:tc>
          <w:tcPr>
            <w:tcW w:w="2322" w:type="dxa"/>
            <w:tcBorders>
              <w:top w:val="single" w:sz="4" w:space="0" w:color="auto"/>
              <w:left w:val="single" w:sz="4" w:space="0" w:color="auto"/>
              <w:bottom w:val="single" w:sz="4" w:space="0" w:color="auto"/>
              <w:right w:val="single" w:sz="4" w:space="0" w:color="auto"/>
            </w:tcBorders>
          </w:tcPr>
          <w:p w14:paraId="00916659" w14:textId="77777777" w:rsidR="0059090D" w:rsidRDefault="0065772A">
            <w:r>
              <w:t>Povprečje</w:t>
            </w:r>
          </w:p>
        </w:tc>
        <w:tc>
          <w:tcPr>
            <w:tcW w:w="2322" w:type="dxa"/>
            <w:tcBorders>
              <w:top w:val="single" w:sz="4" w:space="0" w:color="auto"/>
              <w:left w:val="single" w:sz="4" w:space="0" w:color="auto"/>
              <w:bottom w:val="single" w:sz="4" w:space="0" w:color="auto"/>
              <w:right w:val="single" w:sz="4" w:space="0" w:color="auto"/>
            </w:tcBorders>
          </w:tcPr>
          <w:p w14:paraId="65102179" w14:textId="77777777" w:rsidR="0059090D" w:rsidRDefault="0065772A">
            <w:r>
              <w:fldChar w:fldCharType="begin"/>
            </w:r>
            <w:r>
              <w:instrText xml:space="preserve"> =average(b2:b4) </w:instrText>
            </w:r>
            <w:r>
              <w:fldChar w:fldCharType="separate"/>
            </w:r>
            <w:r>
              <w:rPr>
                <w:noProof/>
              </w:rPr>
              <w:t>124,67</w:t>
            </w:r>
            <w:r>
              <w:fldChar w:fldCharType="end"/>
            </w:r>
          </w:p>
        </w:tc>
        <w:tc>
          <w:tcPr>
            <w:tcW w:w="2322" w:type="dxa"/>
            <w:tcBorders>
              <w:top w:val="single" w:sz="4" w:space="0" w:color="auto"/>
              <w:left w:val="single" w:sz="4" w:space="0" w:color="auto"/>
              <w:bottom w:val="single" w:sz="4" w:space="0" w:color="auto"/>
              <w:right w:val="single" w:sz="4" w:space="0" w:color="auto"/>
            </w:tcBorders>
          </w:tcPr>
          <w:p w14:paraId="36E10131" w14:textId="77777777" w:rsidR="0059090D" w:rsidRDefault="0065772A">
            <w:r>
              <w:fldChar w:fldCharType="begin"/>
            </w:r>
            <w:r>
              <w:instrText xml:space="preserve"> =average(c2:c4) </w:instrText>
            </w:r>
            <w:r>
              <w:fldChar w:fldCharType="separate"/>
            </w:r>
            <w:r>
              <w:rPr>
                <w:noProof/>
              </w:rPr>
              <w:t>126</w:t>
            </w:r>
            <w:r>
              <w:fldChar w:fldCharType="end"/>
            </w:r>
          </w:p>
        </w:tc>
        <w:tc>
          <w:tcPr>
            <w:tcW w:w="2322" w:type="dxa"/>
            <w:tcBorders>
              <w:top w:val="single" w:sz="4" w:space="0" w:color="auto"/>
              <w:left w:val="single" w:sz="4" w:space="0" w:color="auto"/>
              <w:bottom w:val="single" w:sz="4" w:space="0" w:color="auto"/>
              <w:right w:val="single" w:sz="4" w:space="0" w:color="auto"/>
            </w:tcBorders>
          </w:tcPr>
          <w:p w14:paraId="70F778C2" w14:textId="77777777" w:rsidR="0059090D" w:rsidRDefault="0065772A">
            <w:r>
              <w:fldChar w:fldCharType="begin"/>
            </w:r>
            <w:r>
              <w:instrText xml:space="preserve"> =average(d2:d4) </w:instrText>
            </w:r>
            <w:r>
              <w:fldChar w:fldCharType="separate"/>
            </w:r>
            <w:r>
              <w:rPr>
                <w:noProof/>
              </w:rPr>
              <w:t>1,33</w:t>
            </w:r>
            <w:r>
              <w:fldChar w:fldCharType="end"/>
            </w:r>
          </w:p>
        </w:tc>
      </w:tr>
    </w:tbl>
    <w:p w14:paraId="248DD7B8" w14:textId="77777777" w:rsidR="0059090D" w:rsidRDefault="0059090D">
      <w:pPr>
        <w:ind w:left="360"/>
      </w:pPr>
    </w:p>
    <w:p w14:paraId="70996956" w14:textId="77777777" w:rsidR="0059090D" w:rsidRDefault="0059090D">
      <w:pPr>
        <w:ind w:left="360"/>
      </w:pPr>
    </w:p>
    <w:p w14:paraId="486AEA9F" w14:textId="77777777" w:rsidR="0059090D" w:rsidRDefault="0059090D">
      <w:pPr>
        <w:rPr>
          <w:b/>
          <w:i/>
        </w:rPr>
      </w:pPr>
    </w:p>
    <w:p w14:paraId="48B7C2A2" w14:textId="77777777" w:rsidR="0059090D" w:rsidRDefault="0065772A">
      <w:pPr>
        <w:numPr>
          <w:ilvl w:val="0"/>
          <w:numId w:val="1"/>
        </w:numPr>
        <w:rPr>
          <w:b/>
          <w:i/>
        </w:rPr>
      </w:pPr>
      <w:r>
        <w:rPr>
          <w:b/>
          <w:i/>
        </w:rPr>
        <w:t>Rešitev in komentar</w:t>
      </w:r>
    </w:p>
    <w:p w14:paraId="4CB297C5" w14:textId="77777777" w:rsidR="0059090D" w:rsidRDefault="0065772A">
      <w:pPr>
        <w:ind w:left="360"/>
      </w:pPr>
      <w:r>
        <w:t xml:space="preserve">Tališče je odvisno od tlaka (normalni zračni tlak je 101,3kPa). Pri vodi z naraščajočim tlakom tališče raste, pri večini drugih snovi pa pada. Tališče strnjene raztopine je običajno nižje od tališč sestavin. </w:t>
      </w:r>
    </w:p>
    <w:p w14:paraId="7A752F03" w14:textId="77777777" w:rsidR="0059090D" w:rsidRDefault="0065772A">
      <w:pPr>
        <w:ind w:left="360"/>
      </w:pPr>
      <w:r>
        <w:t xml:space="preserve">Pri čistih snoveh temperatura tališča lahko odstopa za 1°C, če pa odstopa za približno 3°C, pomeni, da ima ta snov primesi. </w:t>
      </w:r>
    </w:p>
    <w:p w14:paraId="7C998D1B" w14:textId="77777777" w:rsidR="0059090D" w:rsidRDefault="0059090D">
      <w:pPr>
        <w:ind w:left="360"/>
      </w:pPr>
    </w:p>
    <w:p w14:paraId="29C7514D" w14:textId="77777777" w:rsidR="0059090D" w:rsidRDefault="0065772A">
      <w:pPr>
        <w:ind w:left="360"/>
      </w:pPr>
      <w:r>
        <w:t>Čista snov: T</w:t>
      </w:r>
      <w:r>
        <w:rPr>
          <w:vertAlign w:val="subscript"/>
        </w:rPr>
        <w:t>t</w:t>
      </w:r>
      <w:r>
        <w:t>=</w:t>
      </w:r>
      <w:r>
        <w:rPr>
          <w:position w:val="-4"/>
        </w:rPr>
        <w:object w:dxaOrig="220" w:dyaOrig="240" w14:anchorId="342C05CE">
          <v:shape id="_x0000_i1026" type="#_x0000_t75" style="width:10.5pt;height:12pt" o:ole="" fillcolor="window">
            <v:imagedata r:id="rId7" o:title=""/>
          </v:shape>
          <o:OLEObject Type="Embed" ProgID="Equation.3" ShapeID="_x0000_i1026" DrawAspect="Content" ObjectID="_1618906679" r:id="rId8"/>
        </w:object>
      </w:r>
      <w:r>
        <w:t>1°C</w:t>
      </w:r>
    </w:p>
    <w:p w14:paraId="5E86C0A0" w14:textId="77777777" w:rsidR="0059090D" w:rsidRDefault="0065772A">
      <w:pPr>
        <w:ind w:left="360"/>
      </w:pPr>
      <w:r>
        <w:t>S primesmi: T</w:t>
      </w:r>
      <w:r>
        <w:rPr>
          <w:vertAlign w:val="subscript"/>
        </w:rPr>
        <w:t>t</w:t>
      </w:r>
      <w:r>
        <w:t>=</w:t>
      </w:r>
      <w:r>
        <w:rPr>
          <w:position w:val="-4"/>
        </w:rPr>
        <w:object w:dxaOrig="220" w:dyaOrig="240" w14:anchorId="17E78F86">
          <v:shape id="_x0000_i1027" type="#_x0000_t75" style="width:10.5pt;height:12pt" o:ole="" fillcolor="window">
            <v:imagedata r:id="rId7" o:title=""/>
          </v:shape>
          <o:OLEObject Type="Embed" ProgID="Equation.3" ShapeID="_x0000_i1027" DrawAspect="Content" ObjectID="_1618906680" r:id="rId9"/>
        </w:object>
      </w:r>
      <w:r>
        <w:t>3°C</w:t>
      </w:r>
    </w:p>
    <w:p w14:paraId="7298A92A" w14:textId="77777777" w:rsidR="0059090D" w:rsidRDefault="0059090D">
      <w:pPr>
        <w:ind w:left="360"/>
      </w:pPr>
    </w:p>
    <w:p w14:paraId="659EB7CD" w14:textId="77777777" w:rsidR="0059090D" w:rsidRDefault="0065772A">
      <w:pPr>
        <w:ind w:left="360"/>
      </w:pPr>
      <w:r>
        <w:t xml:space="preserve">Za določanje tališča uporabljamo Thielejev aparat.  To je posebna epruveta, ki ima na spodnjem koncu izdelano stekleno koleno. Napolnjena je s parafinskim oljem. Parafinsko olje je bolj primerno (od vode), ker ima vrelišče pri 350°C. </w:t>
      </w:r>
    </w:p>
    <w:p w14:paraId="14FE23F1" w14:textId="77777777" w:rsidR="0059090D" w:rsidRDefault="0059090D">
      <w:pPr>
        <w:ind w:left="360"/>
      </w:pPr>
    </w:p>
    <w:p w14:paraId="74B5A0AD" w14:textId="77777777" w:rsidR="0059090D" w:rsidRDefault="0059090D">
      <w:pPr>
        <w:ind w:left="360"/>
      </w:pPr>
    </w:p>
    <w:p w14:paraId="76E1FBAA" w14:textId="77777777" w:rsidR="0059090D" w:rsidRDefault="0059090D">
      <w:pPr>
        <w:ind w:left="360"/>
      </w:pPr>
    </w:p>
    <w:p w14:paraId="56809B79" w14:textId="77777777" w:rsidR="0059090D" w:rsidRDefault="0059090D">
      <w:pPr>
        <w:ind w:left="360"/>
      </w:pPr>
    </w:p>
    <w:p w14:paraId="1ED94E65" w14:textId="77777777" w:rsidR="0059090D" w:rsidRDefault="0059090D">
      <w:pPr>
        <w:ind w:left="360"/>
      </w:pPr>
    </w:p>
    <w:p w14:paraId="11A13F94" w14:textId="77777777" w:rsidR="0059090D" w:rsidRDefault="0059090D">
      <w:pPr>
        <w:ind w:left="360"/>
      </w:pPr>
    </w:p>
    <w:p w14:paraId="7210BDCB" w14:textId="77777777" w:rsidR="0059090D" w:rsidRDefault="0059090D">
      <w:pPr>
        <w:ind w:left="360"/>
      </w:pPr>
    </w:p>
    <w:p w14:paraId="074E1B52" w14:textId="77777777" w:rsidR="0059090D" w:rsidRDefault="0059090D">
      <w:pPr>
        <w:ind w:left="360"/>
      </w:pPr>
    </w:p>
    <w:p w14:paraId="5A7AD4F5" w14:textId="77777777" w:rsidR="0059090D" w:rsidRDefault="0059090D">
      <w:pPr>
        <w:ind w:left="360"/>
      </w:pPr>
    </w:p>
    <w:p w14:paraId="35488F60" w14:textId="77777777" w:rsidR="0059090D" w:rsidRDefault="0059090D">
      <w:pPr>
        <w:ind w:left="360"/>
      </w:pPr>
    </w:p>
    <w:p w14:paraId="3BB11D95" w14:textId="77777777" w:rsidR="0059090D" w:rsidRDefault="0059090D">
      <w:pPr>
        <w:ind w:left="360"/>
      </w:pPr>
    </w:p>
    <w:p w14:paraId="14C8B074" w14:textId="77777777" w:rsidR="0059090D" w:rsidRDefault="0059090D">
      <w:pPr>
        <w:ind w:left="360"/>
      </w:pPr>
    </w:p>
    <w:p w14:paraId="72260504" w14:textId="77777777" w:rsidR="0059090D" w:rsidRDefault="0065772A">
      <w:pPr>
        <w:ind w:left="360"/>
      </w:pPr>
      <w:r>
        <w:t xml:space="preserve">Thielejeva metoda zahteva minimalne količine vzorcev (le nekaj mg). Segrevamo počasi, ker merimo temperaturo kopeli in ne vzorca. Med segrevanjem olje stalno kroži. Proti koncu moramo segrevati bolj počasi (največ 2°C/min), tako da se temperatura v kapilarici izenačuje s temperaturo kopeli. </w:t>
      </w:r>
    </w:p>
    <w:p w14:paraId="379B511B" w14:textId="77777777" w:rsidR="0059090D" w:rsidRDefault="0065772A">
      <w:pPr>
        <w:ind w:left="360"/>
      </w:pPr>
      <w:r>
        <w:lastRenderedPageBreak/>
        <w:t xml:space="preserve">Razlike med zabeleženimi temperaturami in intervali taljenja so verjetno posledica nenatančnega odčitavanja temperature s termometra, saj je temperatura hitro naraščala. </w:t>
      </w:r>
    </w:p>
    <w:sectPr w:rsidR="0059090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5A1A"/>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5BE53D07"/>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72A"/>
    <w:rsid w:val="001469E0"/>
    <w:rsid w:val="0059090D"/>
    <w:rsid w:val="0065772A"/>
    <w:rsid w:val="00D60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DCBA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