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941" w:rsidRPr="00233941" w:rsidRDefault="00233941" w:rsidP="00233941">
      <w:pPr>
        <w:spacing w:after="0"/>
        <w:contextualSpacing/>
        <w:jc w:val="center"/>
        <w:rPr>
          <w:rFonts w:cs="Calibri"/>
          <w:b/>
          <w:sz w:val="32"/>
          <w:szCs w:val="32"/>
        </w:rPr>
      </w:pPr>
      <w:bookmarkStart w:id="0" w:name="_GoBack"/>
      <w:bookmarkEnd w:id="0"/>
      <w:r w:rsidRPr="00233941">
        <w:rPr>
          <w:rFonts w:cs="Calibri"/>
          <w:b/>
          <w:sz w:val="32"/>
          <w:szCs w:val="32"/>
        </w:rPr>
        <w:t>3. vaja: Molekulske sile</w:t>
      </w: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b/>
          <w:sz w:val="24"/>
          <w:szCs w:val="24"/>
        </w:rPr>
      </w:pPr>
      <w:r w:rsidRPr="00233941">
        <w:rPr>
          <w:rFonts w:cs="Calibri"/>
          <w:b/>
          <w:sz w:val="24"/>
          <w:szCs w:val="24"/>
        </w:rPr>
        <w:t>1. Uvod:</w:t>
      </w: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Privlačne sile med molekulami so odvisne od lastnosti molekul in so v bistvu posledica elektrostatskega privlaka. Molekule se povezujejo med seboj z molekulskimi vezmi, ki so neusmerjene. Pri tem je pomembno ali so molekule polarne ali nepolarne. Glede na to ločimo molekulske vezi med polarnimi molekulami, med polarnimi in nepolarnimi molekulami (indukcijske sile), ter med nepolarnimi molekulami (disperzijske sile). Snovi, ki jih sestavljajo molekule tvorijo molekulske kristale. Osnovni delci molekulskih kristalov so lahko polarne ali nepolarne molekule. V kristalih žlahtnih plinih, ki nastanejo pri zelo nizkih temperaturah, pa tudi atomi.</w:t>
      </w: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b/>
          <w:sz w:val="24"/>
          <w:szCs w:val="24"/>
        </w:rPr>
      </w:pPr>
      <w:r w:rsidRPr="00233941">
        <w:rPr>
          <w:rFonts w:cs="Calibri"/>
          <w:b/>
          <w:sz w:val="24"/>
          <w:szCs w:val="24"/>
        </w:rPr>
        <w:t>2. Cilji vaje:</w:t>
      </w: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bCs/>
          <w:sz w:val="24"/>
          <w:szCs w:val="24"/>
        </w:rPr>
      </w:pPr>
      <w:r w:rsidRPr="00233941">
        <w:rPr>
          <w:rFonts w:cs="Calibri"/>
          <w:bCs/>
          <w:sz w:val="24"/>
          <w:szCs w:val="24"/>
        </w:rPr>
        <w:t>Dijaki:</w:t>
      </w:r>
    </w:p>
    <w:p w:rsidR="00233941" w:rsidRPr="00233941" w:rsidRDefault="00233941" w:rsidP="00233941">
      <w:pPr>
        <w:numPr>
          <w:ilvl w:val="0"/>
          <w:numId w:val="16"/>
        </w:numPr>
        <w:spacing w:after="0"/>
        <w:contextualSpacing/>
        <w:jc w:val="both"/>
        <w:rPr>
          <w:rFonts w:cs="Calibri"/>
          <w:bCs/>
          <w:sz w:val="24"/>
          <w:szCs w:val="24"/>
        </w:rPr>
      </w:pPr>
      <w:r w:rsidRPr="00233941">
        <w:rPr>
          <w:rFonts w:cs="Calibri"/>
          <w:bCs/>
          <w:sz w:val="24"/>
          <w:szCs w:val="24"/>
        </w:rPr>
        <w:t>spoznajo vse vrste molekulskih sil in vodikove vezi ter med njimi primerjajo,</w:t>
      </w:r>
    </w:p>
    <w:p w:rsidR="00233941" w:rsidRPr="00233941" w:rsidRDefault="00233941" w:rsidP="00233941">
      <w:pPr>
        <w:numPr>
          <w:ilvl w:val="0"/>
          <w:numId w:val="16"/>
        </w:numPr>
        <w:spacing w:after="0"/>
        <w:contextualSpacing/>
        <w:jc w:val="both"/>
        <w:rPr>
          <w:rFonts w:cs="Calibri"/>
          <w:bCs/>
          <w:sz w:val="24"/>
          <w:szCs w:val="24"/>
        </w:rPr>
      </w:pPr>
      <w:r w:rsidRPr="00233941">
        <w:rPr>
          <w:rFonts w:cs="Calibri"/>
          <w:bCs/>
          <w:sz w:val="24"/>
          <w:szCs w:val="24"/>
        </w:rPr>
        <w:t>razlikujejo med endotermno in eksotermno spremembo,</w:t>
      </w:r>
    </w:p>
    <w:p w:rsidR="00233941" w:rsidRPr="00233941" w:rsidRDefault="00233941" w:rsidP="00233941">
      <w:pPr>
        <w:numPr>
          <w:ilvl w:val="0"/>
          <w:numId w:val="16"/>
        </w:numPr>
        <w:spacing w:after="0"/>
        <w:contextualSpacing/>
        <w:jc w:val="both"/>
        <w:rPr>
          <w:rFonts w:cs="Calibri"/>
          <w:bCs/>
          <w:sz w:val="24"/>
          <w:szCs w:val="24"/>
        </w:rPr>
      </w:pPr>
      <w:r w:rsidRPr="00233941">
        <w:rPr>
          <w:rFonts w:cs="Calibri"/>
          <w:sz w:val="24"/>
          <w:szCs w:val="24"/>
        </w:rPr>
        <w:t>ugotovijo vpliv molekulskih sil in vodikove vezi na fizikalne lastnosti snovi.</w:t>
      </w: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b/>
          <w:sz w:val="24"/>
          <w:szCs w:val="24"/>
        </w:rPr>
      </w:pPr>
      <w:r w:rsidRPr="00233941">
        <w:rPr>
          <w:rFonts w:cs="Calibri"/>
          <w:b/>
          <w:sz w:val="24"/>
          <w:szCs w:val="24"/>
        </w:rPr>
        <w:t>3. Seznam laboratorijskega inventarja, pripomočkov in kemikalij:</w:t>
      </w:r>
    </w:p>
    <w:p w:rsidR="00233941" w:rsidRPr="00233941" w:rsidRDefault="00233941" w:rsidP="00233941">
      <w:pPr>
        <w:spacing w:after="0"/>
        <w:contextualSpacing/>
        <w:jc w:val="both"/>
        <w:rPr>
          <w:rFonts w:cs="Calibri"/>
          <w:b/>
          <w:sz w:val="24"/>
          <w:szCs w:val="24"/>
        </w:rPr>
      </w:pPr>
    </w:p>
    <w:p w:rsidR="00233941" w:rsidRPr="00233941" w:rsidRDefault="00233941" w:rsidP="00233941">
      <w:pPr>
        <w:pStyle w:val="ListParagraph"/>
        <w:numPr>
          <w:ilvl w:val="0"/>
          <w:numId w:val="17"/>
        </w:numPr>
        <w:spacing w:after="0"/>
        <w:jc w:val="both"/>
        <w:rPr>
          <w:rFonts w:cs="Calibri"/>
          <w:sz w:val="24"/>
          <w:szCs w:val="24"/>
        </w:rPr>
      </w:pPr>
      <w:r w:rsidRPr="00233941">
        <w:rPr>
          <w:rFonts w:cs="Calibri"/>
          <w:sz w:val="24"/>
          <w:szCs w:val="24"/>
        </w:rPr>
        <w:t>zaščitna očala in rokavice</w:t>
      </w:r>
    </w:p>
    <w:p w:rsidR="00233941" w:rsidRPr="00233941" w:rsidRDefault="00233941" w:rsidP="00233941">
      <w:pPr>
        <w:pStyle w:val="ListParagraph"/>
        <w:numPr>
          <w:ilvl w:val="0"/>
          <w:numId w:val="17"/>
        </w:numPr>
        <w:spacing w:after="0"/>
        <w:jc w:val="both"/>
        <w:rPr>
          <w:rFonts w:cs="Calibri"/>
          <w:sz w:val="24"/>
          <w:szCs w:val="24"/>
        </w:rPr>
      </w:pPr>
      <w:r w:rsidRPr="00233941">
        <w:rPr>
          <w:rFonts w:cs="Calibri"/>
          <w:sz w:val="24"/>
          <w:szCs w:val="24"/>
        </w:rPr>
        <w:t>laboratorijska halja</w:t>
      </w:r>
    </w:p>
    <w:p w:rsidR="00233941" w:rsidRPr="00233941" w:rsidRDefault="00233941" w:rsidP="00233941">
      <w:pPr>
        <w:pStyle w:val="ListParagraph"/>
        <w:numPr>
          <w:ilvl w:val="0"/>
          <w:numId w:val="17"/>
        </w:numPr>
        <w:spacing w:after="0"/>
        <w:jc w:val="both"/>
        <w:rPr>
          <w:rFonts w:cs="Calibri"/>
          <w:sz w:val="24"/>
          <w:szCs w:val="24"/>
        </w:rPr>
      </w:pPr>
      <w:r w:rsidRPr="00233941">
        <w:rPr>
          <w:rFonts w:cs="Calibri"/>
          <w:sz w:val="24"/>
          <w:szCs w:val="24"/>
        </w:rPr>
        <w:t>računalnik s programom Logger Pro</w:t>
      </w:r>
    </w:p>
    <w:p w:rsidR="00233941" w:rsidRPr="00233941" w:rsidRDefault="00233941" w:rsidP="00233941">
      <w:pPr>
        <w:pStyle w:val="ListParagraph"/>
        <w:numPr>
          <w:ilvl w:val="0"/>
          <w:numId w:val="17"/>
        </w:numPr>
        <w:spacing w:after="0"/>
        <w:jc w:val="both"/>
        <w:rPr>
          <w:rFonts w:cs="Calibri"/>
          <w:sz w:val="24"/>
          <w:szCs w:val="24"/>
        </w:rPr>
      </w:pPr>
      <w:r w:rsidRPr="00233941">
        <w:rPr>
          <w:rFonts w:cs="Calibri"/>
          <w:sz w:val="24"/>
          <w:szCs w:val="24"/>
        </w:rPr>
        <w:t>koščki vate</w:t>
      </w:r>
    </w:p>
    <w:p w:rsidR="00233941" w:rsidRPr="00233941" w:rsidRDefault="00233941" w:rsidP="00233941">
      <w:pPr>
        <w:pStyle w:val="ListParagraph"/>
        <w:numPr>
          <w:ilvl w:val="0"/>
          <w:numId w:val="17"/>
        </w:numPr>
        <w:spacing w:after="0"/>
        <w:jc w:val="both"/>
        <w:rPr>
          <w:rFonts w:cs="Calibri"/>
          <w:sz w:val="24"/>
          <w:szCs w:val="24"/>
        </w:rPr>
      </w:pPr>
      <w:r w:rsidRPr="00233941">
        <w:rPr>
          <w:rFonts w:cs="Calibri"/>
          <w:sz w:val="24"/>
          <w:szCs w:val="24"/>
        </w:rPr>
        <w:t>2 temperaturna senzorja</w:t>
      </w:r>
    </w:p>
    <w:p w:rsidR="00233941" w:rsidRPr="00233941" w:rsidRDefault="00233941" w:rsidP="00233941">
      <w:pPr>
        <w:pStyle w:val="ListParagraph"/>
        <w:numPr>
          <w:ilvl w:val="0"/>
          <w:numId w:val="17"/>
        </w:numPr>
        <w:spacing w:after="0"/>
        <w:jc w:val="both"/>
        <w:rPr>
          <w:rFonts w:cs="Calibri"/>
          <w:sz w:val="24"/>
          <w:szCs w:val="24"/>
        </w:rPr>
      </w:pPr>
      <w:r w:rsidRPr="00233941">
        <w:rPr>
          <w:rFonts w:cs="Calibri"/>
          <w:sz w:val="24"/>
          <w:szCs w:val="24"/>
        </w:rPr>
        <w:t>Vernierjev vmesnik, čaša</w:t>
      </w:r>
    </w:p>
    <w:p w:rsidR="00233941" w:rsidRPr="00233941" w:rsidRDefault="00233941" w:rsidP="00233941">
      <w:pPr>
        <w:pStyle w:val="ListParagraph"/>
        <w:numPr>
          <w:ilvl w:val="0"/>
          <w:numId w:val="17"/>
        </w:numPr>
        <w:spacing w:after="0"/>
        <w:jc w:val="both"/>
        <w:rPr>
          <w:rFonts w:cs="Calibri"/>
          <w:sz w:val="24"/>
          <w:szCs w:val="24"/>
        </w:rPr>
      </w:pPr>
      <w:r w:rsidRPr="00233941">
        <w:rPr>
          <w:rFonts w:cs="Calibri"/>
          <w:sz w:val="24"/>
          <w:szCs w:val="24"/>
        </w:rPr>
        <w:t>alkohole: metanol, etanol, propan-1-ol, butan-1-ol, pentan, heksan</w:t>
      </w: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b/>
          <w:sz w:val="24"/>
          <w:szCs w:val="24"/>
        </w:rPr>
      </w:pPr>
      <w:r w:rsidRPr="00233941">
        <w:rPr>
          <w:rFonts w:cs="Calibri"/>
          <w:b/>
          <w:sz w:val="24"/>
          <w:szCs w:val="24"/>
        </w:rPr>
        <w:t>4. Opis dela in varnostni ukrepi:</w:t>
      </w: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Najprej pripravimo računalnik s programom Logger Pro. Temperaturna senzorja na koncih ovijemo z vato in nanju dodajamo po dva vzorca. Nato senzorja položimo na rob mize in pritisnemo "Collect". Spremljamo temperaturo dokler ne dosežemo minimum, takrat pritisnemo "Stop". Izračunamo ΔT in pripravimo nova dva vzorca. Ponavljamo, dokler niso vsi vzorci testirani.</w:t>
      </w: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b/>
          <w:sz w:val="24"/>
          <w:szCs w:val="24"/>
        </w:rPr>
      </w:pPr>
    </w:p>
    <w:p w:rsidR="00233941" w:rsidRPr="00233941" w:rsidRDefault="00233941" w:rsidP="00233941">
      <w:pPr>
        <w:spacing w:after="0"/>
        <w:contextualSpacing/>
        <w:jc w:val="both"/>
        <w:rPr>
          <w:rFonts w:cs="Calibri"/>
          <w:b/>
          <w:sz w:val="24"/>
          <w:szCs w:val="24"/>
        </w:rPr>
      </w:pPr>
      <w:r w:rsidRPr="00233941">
        <w:rPr>
          <w:rFonts w:cs="Calibri"/>
          <w:b/>
          <w:sz w:val="24"/>
          <w:szCs w:val="24"/>
        </w:rPr>
        <w:lastRenderedPageBreak/>
        <w:t>5. Meritve in opažanja:</w:t>
      </w:r>
    </w:p>
    <w:p w:rsidR="00233941" w:rsidRPr="00233941" w:rsidRDefault="00233941" w:rsidP="00233941">
      <w:pPr>
        <w:spacing w:after="0"/>
        <w:contextualSpacing/>
        <w:jc w:val="both"/>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1535"/>
        <w:gridCol w:w="1535"/>
        <w:gridCol w:w="1535"/>
        <w:gridCol w:w="1536"/>
        <w:gridCol w:w="1536"/>
      </w:tblGrid>
      <w:tr w:rsidR="00233941" w:rsidRPr="00A010E0" w:rsidTr="00233941">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VZORCI</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T</w:t>
            </w:r>
            <w:r w:rsidRPr="00233941">
              <w:rPr>
                <w:rFonts w:cs="Calibri"/>
                <w:sz w:val="24"/>
                <w:szCs w:val="24"/>
                <w:vertAlign w:val="subscript"/>
              </w:rPr>
              <w:t>2</w:t>
            </w:r>
            <w:r w:rsidRPr="00233941">
              <w:rPr>
                <w:rFonts w:cs="Calibri"/>
                <w:sz w:val="24"/>
                <w:szCs w:val="24"/>
              </w:rPr>
              <w:t xml:space="preserve"> (°C)</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T</w:t>
            </w:r>
            <w:r w:rsidRPr="00233941">
              <w:rPr>
                <w:rFonts w:cs="Calibri"/>
                <w:sz w:val="24"/>
                <w:szCs w:val="24"/>
                <w:vertAlign w:val="subscript"/>
              </w:rPr>
              <w:t>1</w:t>
            </w:r>
            <w:r w:rsidRPr="00233941">
              <w:rPr>
                <w:rFonts w:cs="Calibri"/>
                <w:sz w:val="24"/>
                <w:szCs w:val="24"/>
              </w:rPr>
              <w:t xml:space="preserve"> (°C)</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ΔT (°C)</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napoved ΔT</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Razlaga</w:t>
            </w:r>
          </w:p>
        </w:tc>
      </w:tr>
      <w:tr w:rsidR="00233941" w:rsidRPr="00A010E0" w:rsidTr="00233941">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etanol</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13,4</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21,2</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7,8</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srednje</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vodikove vezi</w:t>
            </w:r>
          </w:p>
        </w:tc>
      </w:tr>
      <w:tr w:rsidR="00233941" w:rsidRPr="00A010E0" w:rsidTr="00233941">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propan-1-ol</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178,8</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19,9</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2,1</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majhna</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manjši pomen vodikovih vezi</w:t>
            </w:r>
          </w:p>
        </w:tc>
      </w:tr>
      <w:tr w:rsidR="00233941" w:rsidRPr="00A010E0" w:rsidTr="00233941">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butan-1-ol</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18,6</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19,6</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1</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majhna</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manjši pomen vodikovih vezi</w:t>
            </w:r>
          </w:p>
        </w:tc>
      </w:tr>
      <w:tr w:rsidR="00233941" w:rsidRPr="00A010E0" w:rsidTr="00233941">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pentan</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7,1</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11,5</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4,4</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majhna</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disperzijske sile</w:t>
            </w:r>
          </w:p>
        </w:tc>
      </w:tr>
      <w:tr w:rsidR="00233941" w:rsidRPr="00A010E0" w:rsidTr="00233941">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metanol</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7,4</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15,1</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7,7</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srednje</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vodikove vezi</w:t>
            </w:r>
          </w:p>
        </w:tc>
      </w:tr>
      <w:tr w:rsidR="00233941" w:rsidRPr="00A010E0" w:rsidTr="00233941">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heksan</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-6,2</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17,9</w:t>
            </w:r>
          </w:p>
        </w:tc>
        <w:tc>
          <w:tcPr>
            <w:tcW w:w="1535"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24,1</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velika</w:t>
            </w:r>
          </w:p>
        </w:tc>
        <w:tc>
          <w:tcPr>
            <w:tcW w:w="1536" w:type="dxa"/>
            <w:shd w:val="clear" w:color="auto" w:fill="auto"/>
          </w:tcPr>
          <w:p w:rsidR="00233941" w:rsidRPr="00233941" w:rsidRDefault="00233941" w:rsidP="00233941">
            <w:pPr>
              <w:contextualSpacing/>
              <w:jc w:val="both"/>
              <w:rPr>
                <w:rFonts w:cs="Calibri"/>
                <w:sz w:val="24"/>
                <w:szCs w:val="24"/>
              </w:rPr>
            </w:pPr>
            <w:r w:rsidRPr="00233941">
              <w:rPr>
                <w:rFonts w:cs="Calibri"/>
                <w:sz w:val="24"/>
                <w:szCs w:val="24"/>
              </w:rPr>
              <w:t>disperzijske sile</w:t>
            </w:r>
          </w:p>
        </w:tc>
      </w:tr>
    </w:tbl>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b/>
          <w:sz w:val="24"/>
          <w:szCs w:val="24"/>
        </w:rPr>
      </w:pPr>
      <w:r w:rsidRPr="00233941">
        <w:rPr>
          <w:rFonts w:cs="Calibri"/>
          <w:b/>
          <w:sz w:val="24"/>
          <w:szCs w:val="24"/>
        </w:rPr>
        <w:t>6. Izračuni:</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etanol:</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ΔT = T</w:t>
      </w:r>
      <w:r w:rsidRPr="00233941">
        <w:rPr>
          <w:rFonts w:cs="Calibri"/>
          <w:sz w:val="24"/>
          <w:szCs w:val="24"/>
          <w:vertAlign w:val="subscript"/>
        </w:rPr>
        <w:t>1</w:t>
      </w:r>
      <w:r w:rsidRPr="00233941">
        <w:rPr>
          <w:rFonts w:cs="Calibri"/>
          <w:sz w:val="24"/>
          <w:szCs w:val="24"/>
        </w:rPr>
        <w:t xml:space="preserve"> - T</w:t>
      </w:r>
      <w:r w:rsidRPr="00233941">
        <w:rPr>
          <w:rFonts w:cs="Calibri"/>
          <w:sz w:val="24"/>
          <w:szCs w:val="24"/>
          <w:vertAlign w:val="subscript"/>
        </w:rPr>
        <w:t>2</w:t>
      </w:r>
      <w:r w:rsidRPr="00233941">
        <w:rPr>
          <w:rFonts w:cs="Calibri"/>
          <w:sz w:val="24"/>
          <w:szCs w:val="24"/>
        </w:rPr>
        <w:t xml:space="preserve"> = 7,8°C</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propan-1-ol:</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ΔT = T</w:t>
      </w:r>
      <w:r w:rsidRPr="00233941">
        <w:rPr>
          <w:rFonts w:cs="Calibri"/>
          <w:sz w:val="24"/>
          <w:szCs w:val="24"/>
          <w:vertAlign w:val="subscript"/>
        </w:rPr>
        <w:t>1</w:t>
      </w:r>
      <w:r w:rsidRPr="00233941">
        <w:rPr>
          <w:rFonts w:cs="Calibri"/>
          <w:sz w:val="24"/>
          <w:szCs w:val="24"/>
        </w:rPr>
        <w:t xml:space="preserve"> - T</w:t>
      </w:r>
      <w:r w:rsidRPr="00233941">
        <w:rPr>
          <w:rFonts w:cs="Calibri"/>
          <w:sz w:val="24"/>
          <w:szCs w:val="24"/>
          <w:vertAlign w:val="subscript"/>
        </w:rPr>
        <w:t>2</w:t>
      </w:r>
      <w:r w:rsidRPr="00233941">
        <w:rPr>
          <w:rFonts w:cs="Calibri"/>
          <w:sz w:val="24"/>
          <w:szCs w:val="24"/>
        </w:rPr>
        <w:t xml:space="preserve"> = 2,1°C</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butan-1-ol:</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ΔT = T</w:t>
      </w:r>
      <w:r w:rsidRPr="00233941">
        <w:rPr>
          <w:rFonts w:cs="Calibri"/>
          <w:sz w:val="24"/>
          <w:szCs w:val="24"/>
          <w:vertAlign w:val="subscript"/>
        </w:rPr>
        <w:t>1</w:t>
      </w:r>
      <w:r w:rsidRPr="00233941">
        <w:rPr>
          <w:rFonts w:cs="Calibri"/>
          <w:sz w:val="24"/>
          <w:szCs w:val="24"/>
        </w:rPr>
        <w:t xml:space="preserve"> - T</w:t>
      </w:r>
      <w:r w:rsidRPr="00233941">
        <w:rPr>
          <w:rFonts w:cs="Calibri"/>
          <w:sz w:val="24"/>
          <w:szCs w:val="24"/>
          <w:vertAlign w:val="subscript"/>
        </w:rPr>
        <w:t>2</w:t>
      </w:r>
      <w:r w:rsidRPr="00233941">
        <w:rPr>
          <w:rFonts w:cs="Calibri"/>
          <w:sz w:val="24"/>
          <w:szCs w:val="24"/>
        </w:rPr>
        <w:t xml:space="preserve"> = 1°C</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pentan:</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ΔT = T</w:t>
      </w:r>
      <w:r w:rsidRPr="00233941">
        <w:rPr>
          <w:rFonts w:cs="Calibri"/>
          <w:sz w:val="24"/>
          <w:szCs w:val="24"/>
          <w:vertAlign w:val="subscript"/>
        </w:rPr>
        <w:t>1</w:t>
      </w:r>
      <w:r w:rsidRPr="00233941">
        <w:rPr>
          <w:rFonts w:cs="Calibri"/>
          <w:sz w:val="24"/>
          <w:szCs w:val="24"/>
        </w:rPr>
        <w:t xml:space="preserve"> - T</w:t>
      </w:r>
      <w:r w:rsidRPr="00233941">
        <w:rPr>
          <w:rFonts w:cs="Calibri"/>
          <w:sz w:val="24"/>
          <w:szCs w:val="24"/>
          <w:vertAlign w:val="subscript"/>
        </w:rPr>
        <w:t>2</w:t>
      </w:r>
      <w:r w:rsidRPr="00233941">
        <w:rPr>
          <w:rFonts w:cs="Calibri"/>
          <w:sz w:val="24"/>
          <w:szCs w:val="24"/>
        </w:rPr>
        <w:t xml:space="preserve"> = 4,4°C</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metanol:</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ΔT = T</w:t>
      </w:r>
      <w:r w:rsidRPr="00233941">
        <w:rPr>
          <w:rFonts w:cs="Calibri"/>
          <w:sz w:val="24"/>
          <w:szCs w:val="24"/>
          <w:vertAlign w:val="subscript"/>
        </w:rPr>
        <w:t>1</w:t>
      </w:r>
      <w:r w:rsidRPr="00233941">
        <w:rPr>
          <w:rFonts w:cs="Calibri"/>
          <w:sz w:val="24"/>
          <w:szCs w:val="24"/>
        </w:rPr>
        <w:t xml:space="preserve"> - T</w:t>
      </w:r>
      <w:r w:rsidRPr="00233941">
        <w:rPr>
          <w:rFonts w:cs="Calibri"/>
          <w:sz w:val="24"/>
          <w:szCs w:val="24"/>
          <w:vertAlign w:val="subscript"/>
        </w:rPr>
        <w:t>2</w:t>
      </w:r>
      <w:r w:rsidRPr="00233941">
        <w:rPr>
          <w:rFonts w:cs="Calibri"/>
          <w:sz w:val="24"/>
          <w:szCs w:val="24"/>
        </w:rPr>
        <w:t xml:space="preserve"> = 7,7°C</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heksan:</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ΔT = T</w:t>
      </w:r>
      <w:r w:rsidRPr="00233941">
        <w:rPr>
          <w:rFonts w:cs="Calibri"/>
          <w:sz w:val="24"/>
          <w:szCs w:val="24"/>
          <w:vertAlign w:val="subscript"/>
        </w:rPr>
        <w:t>1</w:t>
      </w:r>
      <w:r w:rsidRPr="00233941">
        <w:rPr>
          <w:rFonts w:cs="Calibri"/>
          <w:sz w:val="24"/>
          <w:szCs w:val="24"/>
        </w:rPr>
        <w:t xml:space="preserve"> - T</w:t>
      </w:r>
      <w:r w:rsidRPr="00233941">
        <w:rPr>
          <w:rFonts w:cs="Calibri"/>
          <w:sz w:val="24"/>
          <w:szCs w:val="24"/>
          <w:vertAlign w:val="subscript"/>
        </w:rPr>
        <w:t>2</w:t>
      </w:r>
      <w:r w:rsidRPr="00233941">
        <w:rPr>
          <w:rFonts w:cs="Calibri"/>
          <w:sz w:val="24"/>
          <w:szCs w:val="24"/>
        </w:rPr>
        <w:t xml:space="preserve"> = 24,1°C</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b/>
          <w:sz w:val="24"/>
          <w:szCs w:val="24"/>
        </w:rPr>
      </w:pPr>
      <w:r w:rsidRPr="00233941">
        <w:rPr>
          <w:rFonts w:cs="Calibri"/>
          <w:b/>
          <w:sz w:val="24"/>
          <w:szCs w:val="24"/>
        </w:rPr>
        <w:t>7. Razlaga rezultatov:</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sz w:val="24"/>
          <w:szCs w:val="24"/>
        </w:rPr>
      </w:pPr>
      <w:r w:rsidRPr="00233941">
        <w:rPr>
          <w:rFonts w:cs="Calibri"/>
          <w:sz w:val="24"/>
          <w:szCs w:val="24"/>
        </w:rPr>
        <w:t>Najmanjša temperaturna razlika je pri butan-1-olu, največja pa pri heksanu. Iz tega lahko razberemo, da ima butan-1-ol najmočnejše molekulske vezi in najvišje vrelišče, heksan pa najšibkejše vezi in najnižje vrelišče. Metanol in etanol imata podobno močne molekulske vezi, propan-1-ol malo šibkejše kot butan-1-ol, pentan pa še malo šibkejše kot propan-1-ol in malo močnejše kot metanol in etanol.</w:t>
      </w:r>
    </w:p>
    <w:p w:rsidR="00233941" w:rsidRPr="00233941" w:rsidRDefault="00233941" w:rsidP="00233941">
      <w:pPr>
        <w:spacing w:after="0"/>
        <w:contextualSpacing/>
        <w:jc w:val="both"/>
        <w:rPr>
          <w:rFonts w:cs="Calibri"/>
          <w:sz w:val="24"/>
          <w:szCs w:val="24"/>
        </w:rPr>
      </w:pPr>
    </w:p>
    <w:p w:rsidR="00233941" w:rsidRPr="00233941" w:rsidRDefault="00233941" w:rsidP="00233941">
      <w:pPr>
        <w:spacing w:after="0"/>
        <w:contextualSpacing/>
        <w:jc w:val="both"/>
        <w:rPr>
          <w:rFonts w:cs="Calibri"/>
          <w:b/>
          <w:sz w:val="24"/>
          <w:szCs w:val="24"/>
        </w:rPr>
      </w:pPr>
      <w:r w:rsidRPr="00233941">
        <w:rPr>
          <w:rFonts w:cs="Calibri"/>
          <w:b/>
          <w:sz w:val="24"/>
          <w:szCs w:val="24"/>
        </w:rPr>
        <w:t>8. Zaključek in komentar:</w:t>
      </w:r>
    </w:p>
    <w:p w:rsidR="00233941" w:rsidRPr="00233941" w:rsidRDefault="00233941" w:rsidP="00233941">
      <w:pPr>
        <w:spacing w:after="0"/>
        <w:jc w:val="both"/>
        <w:rPr>
          <w:rFonts w:cs="Calibri"/>
          <w:sz w:val="24"/>
          <w:szCs w:val="24"/>
        </w:rPr>
      </w:pPr>
    </w:p>
    <w:p w:rsidR="00233941" w:rsidRPr="00233941" w:rsidRDefault="00233941" w:rsidP="00233941">
      <w:pPr>
        <w:spacing w:after="0"/>
        <w:jc w:val="both"/>
        <w:rPr>
          <w:rFonts w:cs="Calibri"/>
          <w:sz w:val="24"/>
          <w:szCs w:val="24"/>
        </w:rPr>
      </w:pPr>
      <w:r w:rsidRPr="00233941">
        <w:rPr>
          <w:rFonts w:cs="Calibri"/>
          <w:sz w:val="24"/>
          <w:szCs w:val="24"/>
        </w:rPr>
        <w:t>Povezava med temperaturo vrelišča spojine in izmerjeno temperaturno razliko pri izhlapevanju je: višja kot je temperatura vrelišča spojine, nižja je temperaturna razlika pri izhlapevanju. Vendar to velja posebej za alkohole in vodo, ter posebej za alkane.</w:t>
      </w:r>
    </w:p>
    <w:p w:rsidR="00CB5B30" w:rsidRPr="00233941" w:rsidRDefault="00233941" w:rsidP="00233941">
      <w:pPr>
        <w:spacing w:after="0"/>
        <w:jc w:val="both"/>
        <w:rPr>
          <w:rFonts w:cs="Calibri"/>
          <w:sz w:val="24"/>
          <w:szCs w:val="24"/>
        </w:rPr>
      </w:pPr>
      <w:r w:rsidRPr="00233941">
        <w:rPr>
          <w:rFonts w:cs="Calibri"/>
          <w:sz w:val="24"/>
          <w:szCs w:val="24"/>
        </w:rPr>
        <w:t>Večja kot je molska masa spojine, višje je njeno vrelišče. Enako velja posebej za alkohole, za vodo in posebej za alkane. Najmočnejše molekulske vezi (izmed alkoholov) ima butan-1-ol, saj ima najvišje vrelišče in njegova temperaturna razlika pri izhlapevanju je najmanjša. Ravno obratno je pri heksanu, ki ima najnižje vrelišče in največjo temperaturno razliko pri izhlapevanju, torej so njegove molekulske vezi najšibkejše. Molekulska vez pri alkoholih je vodikova vez. Pentan in butan-1-ol imata podobno molsko maso, vendar so vezi med molekulami butan-1-ola veliko močnejše kot pri pentanu, kar mu omogoča vezana –OH skupina. Pentan nima vodikove vezi, za razliko od butan-1-ola, ki je najmočnejša med molekulskimi vezmi. Pentan ima kovalentne vezi, te so šibkejše, torej lažje razpadejo.</w:t>
      </w:r>
    </w:p>
    <w:sectPr w:rsidR="00CB5B30" w:rsidRPr="00233941" w:rsidSect="0023394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14158D3"/>
    <w:multiLevelType w:val="hybridMultilevel"/>
    <w:tmpl w:val="A8402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BA67E8"/>
    <w:multiLevelType w:val="hybridMultilevel"/>
    <w:tmpl w:val="E2928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11372D"/>
    <w:multiLevelType w:val="hybridMultilevel"/>
    <w:tmpl w:val="09C8BE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465849"/>
    <w:multiLevelType w:val="hybridMultilevel"/>
    <w:tmpl w:val="82F0BC5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AAA4675"/>
    <w:multiLevelType w:val="hybridMultilevel"/>
    <w:tmpl w:val="68B2EFE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36B5D"/>
    <w:multiLevelType w:val="hybridMultilevel"/>
    <w:tmpl w:val="81725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D8211B"/>
    <w:multiLevelType w:val="hybridMultilevel"/>
    <w:tmpl w:val="A78C1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A65C69"/>
    <w:multiLevelType w:val="hybridMultilevel"/>
    <w:tmpl w:val="F6ACE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7C04CA"/>
    <w:multiLevelType w:val="hybridMultilevel"/>
    <w:tmpl w:val="8F403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BA85336"/>
    <w:multiLevelType w:val="hybridMultilevel"/>
    <w:tmpl w:val="F39C49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2D76EF"/>
    <w:multiLevelType w:val="hybridMultilevel"/>
    <w:tmpl w:val="0C988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BA5546"/>
    <w:multiLevelType w:val="hybridMultilevel"/>
    <w:tmpl w:val="A6CA11BC"/>
    <w:lvl w:ilvl="0" w:tplc="04240001">
      <w:start w:val="1"/>
      <w:numFmt w:val="bullet"/>
      <w:lvlText w:val=""/>
      <w:lvlJc w:val="left"/>
      <w:pPr>
        <w:tabs>
          <w:tab w:val="num" w:pos="720"/>
        </w:tabs>
        <w:ind w:left="720" w:hanging="360"/>
      </w:pPr>
      <w:rPr>
        <w:rFonts w:ascii="Symbol" w:hAnsi="Symbol" w:hint="default"/>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3" w15:restartNumberingAfterBreak="0">
    <w:nsid w:val="66022049"/>
    <w:multiLevelType w:val="hybridMultilevel"/>
    <w:tmpl w:val="7848C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E6314CE"/>
    <w:multiLevelType w:val="hybridMultilevel"/>
    <w:tmpl w:val="C5025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4E52BB"/>
    <w:multiLevelType w:val="hybridMultilevel"/>
    <w:tmpl w:val="47305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FC5D13"/>
    <w:multiLevelType w:val="hybridMultilevel"/>
    <w:tmpl w:val="C0667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6"/>
  </w:num>
  <w:num w:numId="5">
    <w:abstractNumId w:val="11"/>
  </w:num>
  <w:num w:numId="6">
    <w:abstractNumId w:val="3"/>
  </w:num>
  <w:num w:numId="7">
    <w:abstractNumId w:val="2"/>
  </w:num>
  <w:num w:numId="8">
    <w:abstractNumId w:val="8"/>
  </w:num>
  <w:num w:numId="9">
    <w:abstractNumId w:val="15"/>
  </w:num>
  <w:num w:numId="10">
    <w:abstractNumId w:val="13"/>
  </w:num>
  <w:num w:numId="11">
    <w:abstractNumId w:val="6"/>
  </w:num>
  <w:num w:numId="12">
    <w:abstractNumId w:val="12"/>
  </w:num>
  <w:num w:numId="13">
    <w:abstractNumId w:val="1"/>
  </w:num>
  <w:num w:numId="14">
    <w:abstractNumId w:val="14"/>
  </w:num>
  <w:num w:numId="15">
    <w:abstractNumId w:val="10"/>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107"/>
    <w:rsid w:val="00207AC7"/>
    <w:rsid w:val="00233941"/>
    <w:rsid w:val="00270737"/>
    <w:rsid w:val="00273596"/>
    <w:rsid w:val="00345A86"/>
    <w:rsid w:val="00442993"/>
    <w:rsid w:val="005E07E7"/>
    <w:rsid w:val="006871DA"/>
    <w:rsid w:val="00763BE0"/>
    <w:rsid w:val="009A722B"/>
    <w:rsid w:val="00A52446"/>
    <w:rsid w:val="00AB7107"/>
    <w:rsid w:val="00CB5B30"/>
    <w:rsid w:val="00CC420E"/>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10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107"/>
    <w:pPr>
      <w:ind w:left="720"/>
      <w:contextualSpacing/>
    </w:pPr>
  </w:style>
  <w:style w:type="table" w:styleId="TableGrid">
    <w:name w:val="Table Grid"/>
    <w:basedOn w:val="TableNormal"/>
    <w:uiPriority w:val="59"/>
    <w:rsid w:val="00AB710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AB7107"/>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