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55" w:rsidRDefault="00115855">
      <w:bookmarkStart w:id="0" w:name="_GoBack"/>
      <w:bookmarkEnd w:id="0"/>
    </w:p>
    <w:p w:rsidR="00115855" w:rsidRDefault="00103258">
      <w:pPr>
        <w:pStyle w:val="Heading1"/>
      </w:pPr>
      <w:r>
        <w:t>Nevtralizacijska titracija</w:t>
      </w:r>
    </w:p>
    <w:p w:rsidR="00115855" w:rsidRDefault="00115855">
      <w:pPr>
        <w:jc w:val="center"/>
      </w:pPr>
    </w:p>
    <w:p w:rsidR="00115855" w:rsidRDefault="00103258">
      <w:pPr>
        <w:pStyle w:val="Heading1"/>
        <w:numPr>
          <w:ilvl w:val="0"/>
          <w:numId w:val="2"/>
        </w:numPr>
        <w:jc w:val="left"/>
      </w:pPr>
      <w:r>
        <w:t>Naloga</w:t>
      </w:r>
    </w:p>
    <w:p w:rsidR="00115855" w:rsidRDefault="00103258">
      <w:r>
        <w:t>Izračunaj koliko gramov NaOH (natrijev hidroksid ali natrijeva baza) je v vzorcu v merilni bučki, tako da vzorec titriraš s HCl</w:t>
      </w:r>
      <w:r>
        <w:rPr>
          <w:vertAlign w:val="subscript"/>
        </w:rPr>
        <w:t>(aq)</w:t>
      </w:r>
      <w:r>
        <w:t xml:space="preserve"> (klorovodikova kislina) z molsko maso c=1mol/L.</w:t>
      </w:r>
    </w:p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t>Kratke teoretske osnove</w:t>
      </w:r>
    </w:p>
    <w:p w:rsidR="00115855" w:rsidRDefault="00103258">
      <w:r>
        <w:t>Titracija  je postopek kvantitativne kemijske analize s katero lahko določimo količino baze, ki jo vsebuje vzorec. Da to dosežemo vzorcu, dodamo kislino z znano koncentracijo in natančno merimo prostornino dodane kisline. Nato z računanjem določimo maso baze v vzorcu.</w:t>
      </w:r>
    </w:p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t>Kemikalije</w:t>
      </w:r>
    </w:p>
    <w:p w:rsidR="00115855" w:rsidRDefault="00103258">
      <w:pPr>
        <w:numPr>
          <w:ilvl w:val="0"/>
          <w:numId w:val="3"/>
        </w:numPr>
      </w:pPr>
      <w:r>
        <w:t>NaOH – natrijev hidroksid</w:t>
      </w:r>
    </w:p>
    <w:p w:rsidR="00115855" w:rsidRDefault="00103258">
      <w:pPr>
        <w:numPr>
          <w:ilvl w:val="0"/>
          <w:numId w:val="3"/>
        </w:numPr>
      </w:pPr>
      <w:r>
        <w:t>HCl</w:t>
      </w:r>
      <w:r>
        <w:rPr>
          <w:vertAlign w:val="subscript"/>
        </w:rPr>
        <w:t>(aq)</w:t>
      </w:r>
      <w:r>
        <w:t xml:space="preserve"> – klorovodikova kislina</w:t>
      </w:r>
    </w:p>
    <w:p w:rsidR="00115855" w:rsidRDefault="00103258">
      <w:pPr>
        <w:numPr>
          <w:ilvl w:val="0"/>
          <w:numId w:val="3"/>
        </w:numPr>
      </w:pPr>
      <w:r>
        <w:t>fenolftalin – indikator za baze</w:t>
      </w:r>
    </w:p>
    <w:p w:rsidR="00115855" w:rsidRDefault="00115855"/>
    <w:p w:rsidR="00115855" w:rsidRDefault="00103258">
      <w:r>
        <w:t xml:space="preserve">                                        </w:t>
      </w:r>
      <w:r>
        <w:rPr>
          <w:position w:val="-14"/>
        </w:rPr>
        <w:object w:dxaOrig="3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9.5pt" o:ole="" fillcolor="window">
            <v:imagedata r:id="rId7" o:title=""/>
          </v:shape>
          <o:OLEObject Type="Embed" ProgID="Equation.3" ShapeID="_x0000_i1025" DrawAspect="Content" ObjectID="_1618906865" r:id="rId8"/>
        </w:object>
      </w:r>
    </w:p>
    <w:p w:rsidR="00115855" w:rsidRDefault="00115855"/>
    <w:p w:rsidR="00115855" w:rsidRDefault="00103258">
      <w:r>
        <w:t>VARNOSTNE OZNAKE (HCl):</w:t>
      </w:r>
    </w:p>
    <w:p w:rsidR="00115855" w:rsidRDefault="00103258">
      <w:pPr>
        <w:tabs>
          <w:tab w:val="num" w:pos="1080"/>
        </w:tabs>
        <w:rPr>
          <w:b/>
        </w:rPr>
      </w:pPr>
      <w:r>
        <w:rPr>
          <w:b/>
        </w:rPr>
        <w:t xml:space="preserve">            Simbol za nevarnost:</w:t>
      </w:r>
    </w:p>
    <w:p w:rsidR="00115855" w:rsidRDefault="00103258">
      <w:pPr>
        <w:ind w:right="2062"/>
        <w:jc w:val="both"/>
      </w:pPr>
      <w:r>
        <w:rPr>
          <w:i/>
        </w:rPr>
        <w:t>Jedke snovi (C):</w:t>
      </w:r>
      <w:r>
        <w:t xml:space="preserve"> Snovi, ki bolj ali manj uničujejo živo tkivo. Posledice delovanja je mogoče predvideti.</w:t>
      </w:r>
    </w:p>
    <w:p w:rsidR="00115855" w:rsidRDefault="00103258">
      <w:pPr>
        <w:ind w:firstLine="708"/>
        <w:rPr>
          <w:b/>
        </w:rPr>
      </w:pPr>
      <w:r>
        <w:rPr>
          <w:b/>
        </w:rPr>
        <w:t>R – stavki:</w:t>
      </w:r>
    </w:p>
    <w:p w:rsidR="00115855" w:rsidRDefault="00103258">
      <w:pPr>
        <w:ind w:left="1416"/>
      </w:pPr>
      <w:r>
        <w:t>R 34 – Povzroča opekline/izjede.</w:t>
      </w:r>
    </w:p>
    <w:p w:rsidR="00115855" w:rsidRDefault="00103258">
      <w:pPr>
        <w:ind w:left="1416"/>
      </w:pPr>
      <w:r>
        <w:t>R 35 – Povzroča hude poškodbe tkiva.</w:t>
      </w:r>
    </w:p>
    <w:p w:rsidR="00115855" w:rsidRDefault="00103258">
      <w:pPr>
        <w:ind w:left="1416"/>
      </w:pPr>
      <w:r>
        <w:t>R 36 – Draži oči.</w:t>
      </w:r>
    </w:p>
    <w:p w:rsidR="00115855" w:rsidRDefault="00103258">
      <w:pPr>
        <w:ind w:left="1416"/>
      </w:pPr>
      <w:r>
        <w:t>R 41 – Možna resna okvara vida.</w:t>
      </w:r>
    </w:p>
    <w:p w:rsidR="00115855" w:rsidRDefault="00103258">
      <w:pPr>
        <w:ind w:firstLine="708"/>
        <w:rPr>
          <w:b/>
        </w:rPr>
      </w:pPr>
      <w:r>
        <w:rPr>
          <w:b/>
        </w:rPr>
        <w:t>S – stavki:</w:t>
      </w:r>
    </w:p>
    <w:p w:rsidR="00115855" w:rsidRDefault="00103258">
      <w:pPr>
        <w:pStyle w:val="BodyTextIndent"/>
        <w:ind w:left="1416" w:firstLine="0"/>
      </w:pPr>
      <w:r>
        <w:t>S 2 – Ne sme priti v roke otrokom.</w:t>
      </w:r>
    </w:p>
    <w:p w:rsidR="00115855" w:rsidRDefault="00103258">
      <w:pPr>
        <w:ind w:left="1416"/>
      </w:pPr>
      <w:r>
        <w:t>S 18 – Posodo pazljivo odpreti in pazljivo ravnati z njo.</w:t>
      </w:r>
    </w:p>
    <w:p w:rsidR="00115855" w:rsidRDefault="00103258">
      <w:pPr>
        <w:pStyle w:val="BodyTextIndent"/>
        <w:ind w:left="1416" w:firstLine="0"/>
      </w:pPr>
      <w:r>
        <w:t>S 20 – Pri delu ne smemo jesti in piti.</w:t>
      </w:r>
    </w:p>
    <w:p w:rsidR="00115855" w:rsidRDefault="00103258">
      <w:pPr>
        <w:ind w:left="1416"/>
      </w:pPr>
      <w:r>
        <w:t>S 25 – Ne sme priti v stik z očmi.</w:t>
      </w:r>
    </w:p>
    <w:p w:rsidR="00115855" w:rsidRDefault="00103258">
      <w:pPr>
        <w:ind w:left="1416"/>
      </w:pPr>
      <w:r>
        <w:t>S 26 – Pri brizgu v oči moramo oči temeljito sprati z vodo in poiskati zdravnika.</w:t>
      </w:r>
    </w:p>
    <w:p w:rsidR="00115855" w:rsidRDefault="00103258">
      <w:pPr>
        <w:pStyle w:val="BodyTextIndent"/>
        <w:ind w:left="1416" w:firstLine="0"/>
      </w:pPr>
      <w:r>
        <w:t xml:space="preserve">S 27 – Umazano, prepojeno obleko je treba takoj sleči. </w:t>
      </w:r>
    </w:p>
    <w:p w:rsidR="00115855" w:rsidRDefault="00103258">
      <w:pPr>
        <w:pStyle w:val="BodyTextIndent"/>
        <w:ind w:left="1416" w:right="-86" w:firstLine="0"/>
      </w:pPr>
      <w:r>
        <w:t>S 28 – Pri stiku s kožo je treba takoj izprati z veliko količino … (proizvajalec mora navesti).</w:t>
      </w:r>
    </w:p>
    <w:p w:rsidR="00115855" w:rsidRDefault="00103258">
      <w:pPr>
        <w:pStyle w:val="Header"/>
        <w:tabs>
          <w:tab w:val="clear" w:pos="4536"/>
          <w:tab w:val="clear" w:pos="9072"/>
        </w:tabs>
        <w:ind w:left="1416"/>
      </w:pPr>
      <w:r>
        <w:t>S 34 – Izključiti je treba možnosti udarca in drgnjenja (ta stavek je potrebno izbrisati v EU).</w:t>
      </w:r>
    </w:p>
    <w:p w:rsidR="00115855" w:rsidRDefault="00103258">
      <w:pPr>
        <w:ind w:left="1416"/>
      </w:pPr>
      <w:r>
        <w:t>S 37 – Uporabljati je treba ustrezne zaščitne rokavice.</w:t>
      </w:r>
    </w:p>
    <w:p w:rsidR="00115855" w:rsidRDefault="00103258">
      <w:pPr>
        <w:ind w:left="1416"/>
      </w:pPr>
      <w:r>
        <w:t>S 39 – Uporabljati je treba zaščitna očala.</w:t>
      </w:r>
    </w:p>
    <w:p w:rsidR="00115855" w:rsidRDefault="00103258">
      <w:pPr>
        <w:ind w:left="1416"/>
      </w:pPr>
      <w:r>
        <w:t>S 46 – V primeru zaužitja je takoj poklicati zdravnika in mu pokazati to posodo ali nalepko.</w:t>
      </w:r>
    </w:p>
    <w:p w:rsidR="00115855" w:rsidRDefault="00115855">
      <w:pPr>
        <w:ind w:left="1416"/>
      </w:pPr>
    </w:p>
    <w:p w:rsidR="00115855" w:rsidRDefault="00103258">
      <w:pPr>
        <w:pStyle w:val="BodyTextIndent"/>
        <w:tabs>
          <w:tab w:val="left" w:pos="7854"/>
        </w:tabs>
        <w:ind w:left="0" w:right="2345" w:firstLine="0"/>
      </w:pPr>
      <w:r>
        <w:rPr>
          <w:i/>
        </w:rPr>
        <w:t>Strupene snovi(T)</w:t>
      </w:r>
      <w:r>
        <w:t>: Vdihavanje, resorbcija skozi kožo in zaužitje majhnih količin snovi lahko povzroči hude okvare zdravja in v nekaterih primerih celo smrt. V primeru hude zastrupitve so možne nepopravljive okvare zdravja zaradi enkratne, večkratne ali celo dolgotrajne izpostavljenosti karcinogenim, mutagenim ali pa snovem, ki škodljivo vplivajo na reprodukcijo.</w:t>
      </w:r>
    </w:p>
    <w:p w:rsidR="00115855" w:rsidRDefault="00103258">
      <w:pPr>
        <w:pStyle w:val="BodyTextIndent"/>
        <w:tabs>
          <w:tab w:val="left" w:pos="7854"/>
        </w:tabs>
        <w:ind w:left="2391" w:right="2345"/>
        <w:rPr>
          <w:b/>
        </w:rPr>
      </w:pPr>
      <w:r>
        <w:rPr>
          <w:b/>
        </w:rPr>
        <w:lastRenderedPageBreak/>
        <w:t>R – stavki:</w:t>
      </w:r>
    </w:p>
    <w:p w:rsidR="00115855" w:rsidRDefault="00103258">
      <w:pPr>
        <w:pStyle w:val="BodyTextIndent"/>
        <w:ind w:left="3099"/>
      </w:pPr>
      <w:r>
        <w:t>R 26 – Zelo strupeno pri vdihavanju.</w:t>
      </w:r>
    </w:p>
    <w:p w:rsidR="00115855" w:rsidRDefault="00103258">
      <w:pPr>
        <w:pStyle w:val="BodyTextIndent"/>
        <w:ind w:left="3099"/>
      </w:pPr>
      <w:r>
        <w:t>R 27 – Zelo strupeno pri stiku s kožo.</w:t>
      </w:r>
    </w:p>
    <w:p w:rsidR="00115855" w:rsidRDefault="00103258">
      <w:pPr>
        <w:pStyle w:val="BodyTextIndent"/>
        <w:ind w:left="3099"/>
      </w:pPr>
      <w:r>
        <w:t>R 28 – Zelo strupeno pri zaužitju.</w:t>
      </w:r>
    </w:p>
    <w:p w:rsidR="00115855" w:rsidRDefault="00103258">
      <w:pPr>
        <w:pStyle w:val="BodyTextIndent"/>
        <w:ind w:left="3099"/>
      </w:pPr>
      <w:r>
        <w:t>R 29 – V stiku z vodo razvija strupene pline.</w:t>
      </w:r>
    </w:p>
    <w:p w:rsidR="00115855" w:rsidRDefault="00103258">
      <w:pPr>
        <w:pStyle w:val="BodyTextIndent"/>
        <w:ind w:left="2391"/>
        <w:rPr>
          <w:b/>
        </w:rPr>
      </w:pPr>
      <w:r>
        <w:rPr>
          <w:b/>
        </w:rPr>
        <w:t>S – stavki</w:t>
      </w:r>
    </w:p>
    <w:p w:rsidR="00115855" w:rsidRDefault="00103258">
      <w:pPr>
        <w:pStyle w:val="BodyTextIndent"/>
        <w:ind w:left="2538" w:hanging="1122"/>
      </w:pPr>
      <w:r>
        <w:t>S 1 – Hraniti pod ključem.</w:t>
      </w:r>
    </w:p>
    <w:p w:rsidR="00115855" w:rsidRDefault="00103258">
      <w:pPr>
        <w:pStyle w:val="BodyTextIndent"/>
        <w:ind w:left="2538" w:hanging="1122"/>
      </w:pPr>
      <w:r>
        <w:t>S 2 – Ne sme priti v roke otrokom.</w:t>
      </w:r>
    </w:p>
    <w:p w:rsidR="00115855" w:rsidRDefault="00103258">
      <w:pPr>
        <w:pStyle w:val="BodyTextIndent"/>
        <w:ind w:left="2538" w:hanging="1122"/>
      </w:pPr>
      <w:r>
        <w:t>S 4 – Hraniti proč od stanovanjskih prostorov.</w:t>
      </w:r>
    </w:p>
    <w:p w:rsidR="00115855" w:rsidRDefault="00103258">
      <w:pPr>
        <w:pStyle w:val="BodyTextIndent"/>
        <w:ind w:left="2538" w:hanging="1122"/>
      </w:pPr>
      <w:r>
        <w:t>S 13 – Hraniti proč od prehrambnih izdelkov, pijače in krme.</w:t>
      </w:r>
    </w:p>
    <w:p w:rsidR="00115855" w:rsidRDefault="00103258">
      <w:pPr>
        <w:pStyle w:val="BodyTextIndent"/>
        <w:ind w:left="2538" w:hanging="1122"/>
      </w:pPr>
      <w:r>
        <w:t>S 20 – Pri delu ne smemo jesti in piti.</w:t>
      </w:r>
    </w:p>
    <w:p w:rsidR="00115855" w:rsidRDefault="00103258">
      <w:pPr>
        <w:pStyle w:val="BodyTextIndent"/>
        <w:ind w:left="2538" w:hanging="1122"/>
      </w:pPr>
      <w:r>
        <w:t xml:space="preserve">S 27 - Umazano, prepojeno obleko je treba takoj sleči. </w:t>
      </w:r>
    </w:p>
    <w:p w:rsidR="00115855" w:rsidRDefault="00103258">
      <w:pPr>
        <w:pStyle w:val="BodyTextIndent"/>
        <w:ind w:left="2538" w:hanging="1122"/>
      </w:pPr>
      <w:r>
        <w:t>S 35 – Odpadke in posode je treba varno odstraniti.</w:t>
      </w:r>
    </w:p>
    <w:p w:rsidR="00115855" w:rsidRDefault="00103258">
      <w:pPr>
        <w:pStyle w:val="BodyTextIndent"/>
        <w:ind w:left="2538" w:hanging="1122"/>
      </w:pPr>
      <w:r>
        <w:t>S 36 – Pri delu je trebe uporabiti ustrezno zaščitno obleko.</w:t>
      </w:r>
    </w:p>
    <w:p w:rsidR="00115855" w:rsidRDefault="00103258">
      <w:pPr>
        <w:pStyle w:val="BodyTextIndent"/>
        <w:ind w:left="2538" w:hanging="1122"/>
      </w:pPr>
      <w:r>
        <w:t>S 37 – Uporabljati je treba ustrezne zaščitne rokavice.</w:t>
      </w:r>
    </w:p>
    <w:p w:rsidR="00115855" w:rsidRDefault="00103258">
      <w:pPr>
        <w:pStyle w:val="BodyTextIndent"/>
        <w:ind w:left="2538" w:hanging="1122"/>
        <w:rPr>
          <w:i/>
        </w:rPr>
      </w:pPr>
      <w:r>
        <w:t>S 38 – Pri nezadostnem zračenju je treba uporabljati varovalna sredstva za zaščito dihalnih organov.</w:t>
      </w:r>
    </w:p>
    <w:p w:rsidR="00115855" w:rsidRDefault="00115855"/>
    <w:p w:rsidR="00115855" w:rsidRDefault="00103258">
      <w:pPr>
        <w:pStyle w:val="BodyText"/>
        <w:ind w:right="2249"/>
        <w:jc w:val="both"/>
      </w:pPr>
      <w:r>
        <w:t>Dražilne snovi (Xi): Snovi, ki ne razjedajo lahko pa povzročajo vnetje, če so bile v kratkotrajnem, daljšem ali ponavljajočem se stiku s kožo ali sluznico. Nevarnost alergije zaradi stika s kožo.</w:t>
      </w:r>
    </w:p>
    <w:p w:rsidR="00115855" w:rsidRDefault="00103258">
      <w:pPr>
        <w:pStyle w:val="BodyText"/>
        <w:ind w:left="708"/>
        <w:jc w:val="both"/>
      </w:pPr>
      <w:r>
        <w:rPr>
          <w:b/>
        </w:rPr>
        <w:t>R – stavki:</w:t>
      </w:r>
    </w:p>
    <w:p w:rsidR="00115855" w:rsidRDefault="00103258">
      <w:pPr>
        <w:pStyle w:val="BodyText"/>
        <w:ind w:left="1416"/>
        <w:jc w:val="both"/>
      </w:pPr>
      <w:r>
        <w:t>R 26 – Zelo strupeno pri vdihavanju.</w:t>
      </w:r>
    </w:p>
    <w:p w:rsidR="00115855" w:rsidRDefault="00103258">
      <w:pPr>
        <w:pStyle w:val="BodyText"/>
        <w:ind w:left="1416"/>
        <w:jc w:val="both"/>
      </w:pPr>
      <w:r>
        <w:t>R 37 – Draži dihalne organe.</w:t>
      </w:r>
    </w:p>
    <w:p w:rsidR="00115855" w:rsidRDefault="00103258">
      <w:pPr>
        <w:pStyle w:val="BodyText"/>
        <w:ind w:left="1416"/>
        <w:jc w:val="both"/>
      </w:pPr>
      <w:r>
        <w:t>R 38 – Draži kožo.</w:t>
      </w:r>
    </w:p>
    <w:p w:rsidR="00115855" w:rsidRDefault="00103258">
      <w:pPr>
        <w:pStyle w:val="BodyText"/>
        <w:ind w:left="1416"/>
        <w:jc w:val="both"/>
      </w:pPr>
      <w:r>
        <w:t>R 41 – Možna resna okvara vida.</w:t>
      </w:r>
    </w:p>
    <w:p w:rsidR="00115855" w:rsidRDefault="00103258">
      <w:pPr>
        <w:pStyle w:val="BodyText"/>
        <w:ind w:left="1416"/>
        <w:jc w:val="both"/>
      </w:pPr>
      <w:r>
        <w:t>R</w:t>
      </w:r>
      <w:r>
        <w:rPr>
          <w:b/>
        </w:rPr>
        <w:t xml:space="preserve"> </w:t>
      </w:r>
      <w:r>
        <w:t>43 – Pri stiku s kožo lahko povzroči preobčutljivost.</w:t>
      </w:r>
    </w:p>
    <w:p w:rsidR="00115855" w:rsidRDefault="00103258">
      <w:pPr>
        <w:pStyle w:val="BodyText"/>
        <w:ind w:firstLine="708"/>
        <w:jc w:val="both"/>
      </w:pPr>
      <w:r>
        <w:rPr>
          <w:b/>
        </w:rPr>
        <w:t>S – stavki:</w:t>
      </w:r>
    </w:p>
    <w:p w:rsidR="00115855" w:rsidRDefault="00103258">
      <w:pPr>
        <w:pStyle w:val="BodyTextIndent"/>
        <w:ind w:left="2164" w:right="-86" w:hanging="748"/>
      </w:pPr>
      <w:r>
        <w:t>S 2 - Ne sme priti v roke otrokom.</w:t>
      </w:r>
    </w:p>
    <w:p w:rsidR="00115855" w:rsidRDefault="00103258">
      <w:pPr>
        <w:pStyle w:val="BodyText"/>
        <w:ind w:left="1416"/>
        <w:jc w:val="both"/>
      </w:pPr>
      <w:r>
        <w:t>S 18 - Posodo pazljivo odpreti in pazljivo ravnati z njo.</w:t>
      </w:r>
    </w:p>
    <w:p w:rsidR="00115855" w:rsidRDefault="00103258">
      <w:pPr>
        <w:pStyle w:val="BodyText"/>
        <w:ind w:left="1416"/>
        <w:jc w:val="both"/>
      </w:pPr>
      <w:r>
        <w:t>S 25 - Ne sme priti v stik z očmi.</w:t>
      </w:r>
    </w:p>
    <w:p w:rsidR="00115855" w:rsidRDefault="00103258">
      <w:pPr>
        <w:pStyle w:val="BodyText"/>
        <w:ind w:left="1416"/>
        <w:jc w:val="both"/>
      </w:pPr>
      <w:r>
        <w:t>S 26 - Pri brizgu v oči moramo oči temeljito sprati z vodo in poiskati zdravnika.</w:t>
      </w:r>
    </w:p>
    <w:p w:rsidR="00115855" w:rsidRDefault="00103258">
      <w:pPr>
        <w:pStyle w:val="BodyTextIndent"/>
        <w:ind w:left="2164" w:right="-86" w:hanging="748"/>
      </w:pPr>
      <w:r>
        <w:t>S 37 - Uporabljati je treba ustrezne zaščitne rokavice.</w:t>
      </w:r>
    </w:p>
    <w:p w:rsidR="00115855" w:rsidRDefault="00103258">
      <w:pPr>
        <w:ind w:left="1416"/>
      </w:pPr>
      <w:r>
        <w:t>S 46 - V primeru zaužitja je takoj poklicati zdravnika in mu pokazati to posodo ali nalepko.</w:t>
      </w:r>
    </w:p>
    <w:p w:rsidR="00115855" w:rsidRDefault="00103258">
      <w:r>
        <w:t xml:space="preserve">  </w:t>
      </w:r>
    </w:p>
    <w:p w:rsidR="00115855" w:rsidRDefault="00103258">
      <w:r>
        <w:t xml:space="preserve">VARNOSTNE OZNAKE (NaOH): </w:t>
      </w:r>
    </w:p>
    <w:p w:rsidR="00115855" w:rsidRDefault="00103258">
      <w:pPr>
        <w:ind w:right="2062"/>
        <w:jc w:val="both"/>
      </w:pPr>
      <w:r>
        <w:rPr>
          <w:i/>
        </w:rPr>
        <w:t>Jedke snovi (C):</w:t>
      </w:r>
      <w:r>
        <w:t xml:space="preserve"> Snovi, ki bolj ali manj uničujejo živo tkivo. Posledice delovanja je mogoče predvideti.</w:t>
      </w:r>
    </w:p>
    <w:p w:rsidR="00115855" w:rsidRDefault="00103258">
      <w:pPr>
        <w:ind w:firstLine="708"/>
        <w:rPr>
          <w:b/>
        </w:rPr>
      </w:pPr>
      <w:r>
        <w:rPr>
          <w:b/>
        </w:rPr>
        <w:t>R – stavki:</w:t>
      </w:r>
    </w:p>
    <w:p w:rsidR="00115855" w:rsidRDefault="00103258">
      <w:pPr>
        <w:ind w:left="1416"/>
      </w:pPr>
      <w:r>
        <w:t>R 34 – Povzroča opekline/izjede.</w:t>
      </w:r>
    </w:p>
    <w:p w:rsidR="00115855" w:rsidRDefault="00103258">
      <w:pPr>
        <w:ind w:left="1416"/>
      </w:pPr>
      <w:r>
        <w:t>R 35 – Povzroča hude poškodbe tkiva.</w:t>
      </w:r>
    </w:p>
    <w:p w:rsidR="00115855" w:rsidRDefault="00103258">
      <w:pPr>
        <w:ind w:left="1416"/>
      </w:pPr>
      <w:r>
        <w:t>R 36 – Draži oči.</w:t>
      </w:r>
    </w:p>
    <w:p w:rsidR="00115855" w:rsidRDefault="00103258">
      <w:pPr>
        <w:ind w:left="1416"/>
      </w:pPr>
      <w:r>
        <w:t>R 41 – Možna resna okvara vida.</w:t>
      </w:r>
    </w:p>
    <w:p w:rsidR="00115855" w:rsidRDefault="00103258">
      <w:pPr>
        <w:ind w:firstLine="708"/>
        <w:rPr>
          <w:b/>
        </w:rPr>
      </w:pPr>
      <w:r>
        <w:rPr>
          <w:b/>
        </w:rPr>
        <w:t>S – stavki:</w:t>
      </w:r>
    </w:p>
    <w:p w:rsidR="00115855" w:rsidRDefault="00103258">
      <w:pPr>
        <w:pStyle w:val="BodyTextIndent"/>
        <w:ind w:left="1416" w:firstLine="0"/>
      </w:pPr>
      <w:r>
        <w:t>S 2 – Ne sme priti v roke otrokom.</w:t>
      </w:r>
    </w:p>
    <w:p w:rsidR="00115855" w:rsidRDefault="00103258">
      <w:pPr>
        <w:ind w:left="1416"/>
      </w:pPr>
      <w:r>
        <w:t>S 18 – Posodo pazljivo odpreti in pazljivo ravnati z njo.</w:t>
      </w:r>
    </w:p>
    <w:p w:rsidR="00115855" w:rsidRDefault="00103258">
      <w:pPr>
        <w:pStyle w:val="BodyTextIndent"/>
        <w:ind w:left="1416" w:firstLine="0"/>
      </w:pPr>
      <w:r>
        <w:t>S 20 – Pri delu ne smemo jesti in piti.</w:t>
      </w:r>
    </w:p>
    <w:p w:rsidR="00115855" w:rsidRDefault="00103258">
      <w:pPr>
        <w:ind w:left="1416"/>
      </w:pPr>
      <w:r>
        <w:t>S 25 – Ne sme priti v stik z očmi.</w:t>
      </w:r>
    </w:p>
    <w:p w:rsidR="00115855" w:rsidRDefault="00103258">
      <w:pPr>
        <w:ind w:left="1416"/>
      </w:pPr>
      <w:r>
        <w:t>S 26 – Pri brizgu v oči moramo oči temeljito sprati z vodo in poiskati zdravnika.</w:t>
      </w:r>
    </w:p>
    <w:p w:rsidR="00115855" w:rsidRDefault="00103258">
      <w:pPr>
        <w:pStyle w:val="BodyTextIndent"/>
        <w:ind w:left="1416" w:firstLine="0"/>
      </w:pPr>
      <w:r>
        <w:t xml:space="preserve">S 27 – Umazano, prepojeno obleko je treba takoj sleči. </w:t>
      </w:r>
    </w:p>
    <w:p w:rsidR="00115855" w:rsidRDefault="00103258">
      <w:pPr>
        <w:pStyle w:val="BodyTextIndent"/>
        <w:ind w:left="1416" w:right="-86" w:firstLine="0"/>
      </w:pPr>
      <w:r>
        <w:lastRenderedPageBreak/>
        <w:t>S 28 – Pri stiku s kožo je treba takoj izprati z veliko količino … (proizvajalec mora navesti).</w:t>
      </w:r>
    </w:p>
    <w:p w:rsidR="00115855" w:rsidRDefault="00103258">
      <w:pPr>
        <w:pStyle w:val="Header"/>
        <w:tabs>
          <w:tab w:val="clear" w:pos="4536"/>
          <w:tab w:val="clear" w:pos="9072"/>
        </w:tabs>
        <w:ind w:left="1416"/>
      </w:pPr>
      <w:r>
        <w:t>S 34 – Izključiti je treba možnosti udarca in drgnjenja (ta stavek je potrebno izbrisati v EU).</w:t>
      </w:r>
    </w:p>
    <w:p w:rsidR="00115855" w:rsidRDefault="00103258">
      <w:pPr>
        <w:ind w:left="1416"/>
      </w:pPr>
      <w:r>
        <w:t>S 37 – Uporabljati je treba ustrezne zaščitne rokavice.</w:t>
      </w:r>
    </w:p>
    <w:p w:rsidR="00115855" w:rsidRDefault="00103258">
      <w:pPr>
        <w:ind w:left="1416"/>
      </w:pPr>
      <w:r>
        <w:t>S 39 – Uporabljati je treba zaščitna očala.</w:t>
      </w:r>
    </w:p>
    <w:p w:rsidR="00115855" w:rsidRDefault="00103258">
      <w:pPr>
        <w:ind w:left="1416"/>
      </w:pPr>
      <w:r>
        <w:t>S 46 – V primeru zaužitja je takoj poklicati zdravnika in mu pokazati to posodo ali nalepko.</w:t>
      </w:r>
    </w:p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t>Laboratorijski pribor</w:t>
      </w:r>
    </w:p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03258">
      <w:r>
        <w:t xml:space="preserve">     pladenj                                              merilna bučka                                                         bireta              </w:t>
      </w:r>
    </w:p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03258">
      <w:r>
        <w:t xml:space="preserve">    pipeta                                               erlenmajerica</w:t>
      </w:r>
    </w:p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t>Navodila za delo</w:t>
      </w:r>
    </w:p>
    <w:p w:rsidR="00115855" w:rsidRDefault="00103258">
      <w:r>
        <w:t>Vzorec razredčimo do 250ml v merilni bučki. Pazimo na spodnji minisk! Vzamemo pipeto in z njo vzamemo iz bučke 50ml raztopine. Teh 50ml damo v erlenmajerico. Temu delu rečemo alikvotni del vzorca (a) – a=50ml:250ml=1/5. V erlenmajerico damo eno kapljico fenolftaleina (indikator za baze), ki vzorec rdečkasto obarva. S pipeto dodajamo kislino toliko časa, da se fenolftalin  ne razbarva. Tak postopek ponovimo še dvakrat. Tako dobljeno potrebno količino kisline pomnožimo s alikvotnim faktorjem, a</w:t>
      </w:r>
      <w:r>
        <w:rPr>
          <w:vertAlign w:val="subscript"/>
        </w:rPr>
        <w:t>f</w:t>
      </w:r>
      <w:r>
        <w:t>=5. s tem dobimo količino kisline potrebne za titracijo celega vzorca.</w:t>
      </w:r>
    </w:p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t>Skica aparature</w:t>
      </w:r>
    </w:p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lastRenderedPageBreak/>
        <w:t>Rezultati opazovanja</w:t>
      </w:r>
    </w:p>
    <w:p w:rsidR="00115855" w:rsidRDefault="00103258">
      <w:r>
        <w:t>Računi:</w:t>
      </w:r>
    </w:p>
    <w:p w:rsidR="00115855" w:rsidRDefault="00103258">
      <w:pPr>
        <w:ind w:firstLine="708"/>
      </w:pPr>
      <w:r>
        <w:rPr>
          <w:position w:val="-12"/>
        </w:rPr>
        <w:object w:dxaOrig="1080" w:dyaOrig="360">
          <v:shape id="_x0000_i1026" type="#_x0000_t75" style="width:54.75pt;height:18.75pt" o:ole="" fillcolor="window">
            <v:imagedata r:id="rId9" o:title=""/>
          </v:shape>
          <o:OLEObject Type="Embed" ProgID="Equation.3" ShapeID="_x0000_i1026" DrawAspect="Content" ObjectID="_1618906866" r:id="rId10"/>
        </w:object>
      </w:r>
      <w:r>
        <w:t xml:space="preserve">      </w:t>
      </w:r>
      <w:r>
        <w:rPr>
          <w:position w:val="-24"/>
        </w:rPr>
        <w:object w:dxaOrig="1200" w:dyaOrig="620">
          <v:shape id="_x0000_i1027" type="#_x0000_t75" style="width:60pt;height:30.75pt" o:ole="" fillcolor="window">
            <v:imagedata r:id="rId11" o:title=""/>
          </v:shape>
          <o:OLEObject Type="Embed" ProgID="Equation.3" ShapeID="_x0000_i1027" DrawAspect="Content" ObjectID="_1618906867" r:id="rId12"/>
        </w:object>
      </w:r>
      <w:r>
        <w:t xml:space="preserve">     </w:t>
      </w:r>
      <w:r>
        <w:rPr>
          <w:position w:val="-24"/>
        </w:rPr>
        <w:object w:dxaOrig="1640" w:dyaOrig="620">
          <v:shape id="_x0000_i1028" type="#_x0000_t75" style="width:81.75pt;height:30.75pt" o:ole="" fillcolor="window">
            <v:imagedata r:id="rId13" o:title=""/>
          </v:shape>
          <o:OLEObject Type="Embed" ProgID="Equation.3" ShapeID="_x0000_i1028" DrawAspect="Content" ObjectID="_1618906868" r:id="rId14"/>
        </w:object>
      </w:r>
    </w:p>
    <w:p w:rsidR="00115855" w:rsidRDefault="00115855">
      <w:pPr>
        <w:ind w:firstLine="708"/>
      </w:pPr>
    </w:p>
    <w:p w:rsidR="00115855" w:rsidRDefault="00103258">
      <w:pPr>
        <w:ind w:firstLine="708"/>
      </w:pPr>
      <w:r>
        <w:rPr>
          <w:position w:val="-24"/>
        </w:rPr>
        <w:object w:dxaOrig="3700" w:dyaOrig="620">
          <v:shape id="_x0000_i1029" type="#_x0000_t75" style="width:185.25pt;height:30.75pt" o:ole="" fillcolor="window">
            <v:imagedata r:id="rId15" o:title=""/>
          </v:shape>
          <o:OLEObject Type="Embed" ProgID="Equation.3" ShapeID="_x0000_i1029" DrawAspect="Content" ObjectID="_1618906869" r:id="rId16"/>
        </w:object>
      </w:r>
      <w:r>
        <w:t xml:space="preserve">      </w:t>
      </w:r>
      <w:r>
        <w:rPr>
          <w:position w:val="-12"/>
        </w:rPr>
        <w:object w:dxaOrig="2460" w:dyaOrig="360">
          <v:shape id="_x0000_i1030" type="#_x0000_t75" style="width:123pt;height:18.75pt" o:ole="" fillcolor="window">
            <v:imagedata r:id="rId17" o:title=""/>
          </v:shape>
          <o:OLEObject Type="Embed" ProgID="Equation.3" ShapeID="_x0000_i1030" DrawAspect="Content" ObjectID="_1618906870" r:id="rId18"/>
        </w:object>
      </w:r>
    </w:p>
    <w:p w:rsidR="00115855" w:rsidRDefault="00103258">
      <w:pPr>
        <w:ind w:firstLine="708"/>
      </w:pPr>
      <w:r>
        <w:rPr>
          <w:position w:val="-24"/>
        </w:rPr>
        <w:object w:dxaOrig="4020" w:dyaOrig="620">
          <v:shape id="_x0000_i1031" type="#_x0000_t75" style="width:201pt;height:30.75pt" o:ole="" fillcolor="window">
            <v:imagedata r:id="rId19" o:title=""/>
          </v:shape>
          <o:OLEObject Type="Embed" ProgID="Equation.3" ShapeID="_x0000_i1031" DrawAspect="Content" ObjectID="_1618906871" r:id="rId20"/>
        </w:object>
      </w:r>
    </w:p>
    <w:p w:rsidR="00115855" w:rsidRDefault="00103258">
      <w:r>
        <w:t>V danem vzorcu je 0,24g natrijevega hidroksida.</w:t>
      </w:r>
    </w:p>
    <w:p w:rsidR="00115855" w:rsidRDefault="00115855"/>
    <w:p w:rsidR="00115855" w:rsidRDefault="00103258">
      <w:pPr>
        <w:pStyle w:val="Heading1"/>
        <w:numPr>
          <w:ilvl w:val="0"/>
          <w:numId w:val="2"/>
        </w:numPr>
        <w:jc w:val="left"/>
      </w:pPr>
      <w:r>
        <w:t>Varnost pri delu</w:t>
      </w:r>
    </w:p>
    <w:p w:rsidR="00115855" w:rsidRDefault="00103258">
      <w:r>
        <w:t>Pri vaji smo uporabljali predpasnik in zaščitna očala.</w:t>
      </w:r>
    </w:p>
    <w:sectPr w:rsidR="00115855">
      <w:headerReference w:type="default" r:id="rId21"/>
      <w:footerReference w:type="default" r:id="rId22"/>
      <w:pgSz w:w="11907" w:h="16840" w:code="9"/>
      <w:pgMar w:top="1134" w:right="1134" w:bottom="1134" w:left="1418" w:header="964" w:footer="96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55" w:rsidRDefault="00103258">
      <w:r>
        <w:separator/>
      </w:r>
    </w:p>
  </w:endnote>
  <w:endnote w:type="continuationSeparator" w:id="0">
    <w:p w:rsidR="00115855" w:rsidRDefault="0010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55" w:rsidRDefault="00115855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55" w:rsidRDefault="00103258">
      <w:r>
        <w:separator/>
      </w:r>
    </w:p>
  </w:footnote>
  <w:footnote w:type="continuationSeparator" w:id="0">
    <w:p w:rsidR="00115855" w:rsidRDefault="0010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55" w:rsidRDefault="00103258">
    <w:pPr>
      <w:pStyle w:val="Header"/>
      <w:pBdr>
        <w:bottom w:val="single" w:sz="4" w:space="1" w:color="auto"/>
      </w:pBdr>
      <w:jc w:val="center"/>
    </w:pPr>
    <w:r>
      <w:t>Kemijske vaje – Nevrtalizacijska titracija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F38"/>
    <w:multiLevelType w:val="hybridMultilevel"/>
    <w:tmpl w:val="3970CB2C"/>
    <w:lvl w:ilvl="0" w:tplc="8DD8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DE04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14AA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DEC6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0077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0A49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0C94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0898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A92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7757DB"/>
    <w:multiLevelType w:val="singleLevel"/>
    <w:tmpl w:val="5F28F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56276"/>
    <w:multiLevelType w:val="hybridMultilevel"/>
    <w:tmpl w:val="2E560908"/>
    <w:lvl w:ilvl="0" w:tplc="C83AC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E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05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A6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4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07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00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4E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83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58"/>
    <w:rsid w:val="00103258"/>
    <w:rsid w:val="00115855"/>
    <w:rsid w:val="004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1683" w:hanging="1683"/>
      <w:jc w:val="both"/>
    </w:pPr>
  </w:style>
  <w:style w:type="paragraph" w:styleId="BodyText">
    <w:name w:val="Body Text"/>
    <w:basedOn w:val="Normal"/>
    <w:semiHidden/>
    <w:pPr>
      <w:ind w:righ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