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D1" w:rsidRDefault="00924FD1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</w:p>
    <w:p w:rsidR="00924FD1" w:rsidRDefault="00417F80">
      <w:pPr>
        <w:pStyle w:val="Heading1"/>
      </w:pPr>
      <w:r>
        <w:t>Raztopine s procentno koncentracijo</w:t>
      </w:r>
    </w:p>
    <w:p w:rsidR="00924FD1" w:rsidRDefault="00924FD1">
      <w:pPr>
        <w:jc w:val="center"/>
      </w:pPr>
    </w:p>
    <w:p w:rsidR="00924FD1" w:rsidRDefault="00417F80">
      <w:pPr>
        <w:pStyle w:val="Heading1"/>
        <w:numPr>
          <w:ilvl w:val="0"/>
          <w:numId w:val="2"/>
        </w:numPr>
        <w:jc w:val="left"/>
      </w:pPr>
      <w:r>
        <w:t>Naloga</w:t>
      </w:r>
    </w:p>
    <w:p w:rsidR="00924FD1" w:rsidRDefault="00417F80">
      <w:pPr>
        <w:rPr>
          <w:vertAlign w:val="subscript"/>
        </w:rPr>
      </w:pPr>
      <w:r>
        <w:t>a) Pripravi 170g 0,9% raztopino CH</w:t>
      </w:r>
      <w:r>
        <w:rPr>
          <w:vertAlign w:val="subscript"/>
        </w:rPr>
        <w:t>3</w:t>
      </w:r>
      <w:r>
        <w:t xml:space="preserve">COONa (natrijev acetat). Masni delež w = 0,99, </w:t>
      </w:r>
      <w:r>
        <w:sym w:font="Symbol" w:char="F06A"/>
      </w:r>
      <w:r>
        <w:rPr>
          <w:vertAlign w:val="subscript"/>
        </w:rPr>
        <w:t>H2O</w:t>
      </w:r>
      <w:r>
        <w:t>=0,999g/ml.</w:t>
      </w:r>
    </w:p>
    <w:p w:rsidR="00924FD1" w:rsidRDefault="00417F80">
      <w:r>
        <w:t>b) Pripravi 220g 1,1% raztopino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(etanol). w = 0,96, </w:t>
      </w:r>
      <w:r>
        <w:sym w:font="Symbol" w:char="F06A"/>
      </w:r>
      <w:r>
        <w:t>=0,803 g/ml.</w:t>
      </w:r>
    </w:p>
    <w:p w:rsidR="00924FD1" w:rsidRDefault="00924FD1">
      <w:pPr>
        <w:pStyle w:val="Heading1"/>
        <w:ind w:left="360"/>
        <w:jc w:val="left"/>
        <w:rPr>
          <w:sz w:val="24"/>
        </w:rPr>
      </w:pPr>
    </w:p>
    <w:p w:rsidR="00924FD1" w:rsidRDefault="00417F80">
      <w:pPr>
        <w:pStyle w:val="Heading1"/>
        <w:numPr>
          <w:ilvl w:val="0"/>
          <w:numId w:val="2"/>
        </w:numPr>
        <w:jc w:val="left"/>
      </w:pPr>
      <w:r>
        <w:t>Kratke teoretske osnove</w:t>
      </w:r>
    </w:p>
    <w:p w:rsidR="00924FD1" w:rsidRDefault="00417F80">
      <w:r>
        <w:t>S procentno koncentracijo raztopine povemo koliko topljenca je 100g raztopine. 0,9% (oz. 1,1%) raztopina pomeni, da je v 100g raztopine 0,9g (oz. 1,1g) topljenca.</w:t>
      </w:r>
    </w:p>
    <w:p w:rsidR="00924FD1" w:rsidRDefault="00924FD1"/>
    <w:p w:rsidR="00924FD1" w:rsidRDefault="00417F80">
      <w:pPr>
        <w:pStyle w:val="Heading1"/>
        <w:numPr>
          <w:ilvl w:val="0"/>
          <w:numId w:val="2"/>
        </w:numPr>
        <w:jc w:val="left"/>
      </w:pPr>
      <w:r>
        <w:t>Kemikalije</w:t>
      </w:r>
    </w:p>
    <w:p w:rsidR="00924FD1" w:rsidRDefault="00417F80">
      <w:pPr>
        <w:numPr>
          <w:ilvl w:val="1"/>
          <w:numId w:val="2"/>
        </w:numPr>
      </w:pPr>
      <w:r>
        <w:t>CH</w:t>
      </w:r>
      <w:r>
        <w:rPr>
          <w:vertAlign w:val="subscript"/>
        </w:rPr>
        <w:t>3</w:t>
      </w:r>
      <w:r>
        <w:t xml:space="preserve">COONa – natrijev acetat </w:t>
      </w:r>
    </w:p>
    <w:p w:rsidR="00924FD1" w:rsidRDefault="00417F80">
      <w:r>
        <w:t>Zaradi stare embalaže ni R in S-stavkov.</w:t>
      </w:r>
    </w:p>
    <w:p w:rsidR="00924FD1" w:rsidRDefault="00924FD1"/>
    <w:p w:rsidR="00924FD1" w:rsidRDefault="00417F80">
      <w:pPr>
        <w:numPr>
          <w:ilvl w:val="1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– etanol </w:t>
      </w:r>
    </w:p>
    <w:p w:rsidR="00924FD1" w:rsidRDefault="00417F80">
      <w:pPr>
        <w:ind w:firstLine="708"/>
        <w:rPr>
          <w:b/>
        </w:rPr>
      </w:pPr>
      <w:r>
        <w:rPr>
          <w:b/>
        </w:rPr>
        <w:t>- Simbol za nevarnost:</w:t>
      </w:r>
    </w:p>
    <w:p w:rsidR="00924FD1" w:rsidRDefault="00417F80">
      <w:pPr>
        <w:pStyle w:val="Heading3"/>
        <w:ind w:right="2062"/>
        <w:rPr>
          <w:b w:val="0"/>
        </w:rPr>
      </w:pPr>
      <w:r>
        <w:rPr>
          <w:b w:val="0"/>
          <w:i/>
        </w:rPr>
        <w:t>Lahko vnetljive snovi (F):</w:t>
      </w:r>
      <w:r>
        <w:rPr>
          <w:b w:val="0"/>
        </w:rPr>
        <w:t xml:space="preserve"> Tekočine, ki imajo plamenišče pod 21</w:t>
      </w:r>
      <w:r>
        <w:rPr>
          <w:b w:val="0"/>
        </w:rPr>
        <w:sym w:font="Symbol" w:char="F0B0"/>
      </w:r>
      <w:r>
        <w:rPr>
          <w:b w:val="0"/>
        </w:rPr>
        <w:t>C in ne spada med zelo vnetljive snovi. Trdne snovi ali preparati, ki se lahko vnamejo po kratki izpostavljenosti izvoru vžiga in nato gorijo ali tlijo.</w:t>
      </w:r>
    </w:p>
    <w:p w:rsidR="00924FD1" w:rsidRDefault="00417F80">
      <w:pPr>
        <w:ind w:firstLine="708"/>
        <w:rPr>
          <w:b/>
        </w:rPr>
      </w:pPr>
      <w:r>
        <w:t xml:space="preserve">- </w:t>
      </w:r>
      <w:r>
        <w:rPr>
          <w:b/>
        </w:rPr>
        <w:t>R – stavki:</w:t>
      </w:r>
    </w:p>
    <w:p w:rsidR="00924FD1" w:rsidRDefault="00417F80">
      <w:r>
        <w:rPr>
          <w:b/>
        </w:rPr>
        <w:tab/>
      </w:r>
      <w:r>
        <w:rPr>
          <w:b/>
        </w:rPr>
        <w:tab/>
      </w:r>
      <w:r>
        <w:t>R 11 – Lahko vnetljivo.</w:t>
      </w:r>
    </w:p>
    <w:p w:rsidR="00924FD1" w:rsidRDefault="00417F80">
      <w:pPr>
        <w:ind w:firstLine="708"/>
      </w:pPr>
      <w:r>
        <w:t xml:space="preserve">- </w:t>
      </w:r>
      <w:r>
        <w:rPr>
          <w:b/>
        </w:rPr>
        <w:t>S – stavki:</w:t>
      </w:r>
    </w:p>
    <w:p w:rsidR="00924FD1" w:rsidRDefault="00417F80">
      <w:r>
        <w:tab/>
      </w:r>
      <w:r>
        <w:tab/>
        <w:t>S 6 – Hraniti pod … (proizvajalec mora navesti inertni plin).</w:t>
      </w:r>
    </w:p>
    <w:p w:rsidR="00924FD1" w:rsidRDefault="00417F80">
      <w:pPr>
        <w:ind w:left="1416"/>
      </w:pPr>
      <w:r>
        <w:t>S 7 – Posode morajo biti tesno zaprte.</w:t>
      </w:r>
    </w:p>
    <w:p w:rsidR="00924FD1" w:rsidRDefault="00417F80">
      <w:pPr>
        <w:ind w:left="1416"/>
      </w:pPr>
      <w:r>
        <w:t>S 8 – Posode morajo biti na suhem.</w:t>
      </w:r>
    </w:p>
    <w:p w:rsidR="00924FD1" w:rsidRDefault="00417F80">
      <w:pPr>
        <w:ind w:left="1416"/>
      </w:pPr>
      <w:r>
        <w:t>S 9 – Posode moramo hraniti v dobro prezračenem prostoru.</w:t>
      </w:r>
    </w:p>
    <w:p w:rsidR="00924FD1" w:rsidRDefault="00417F80">
      <w:pPr>
        <w:ind w:left="1416"/>
      </w:pPr>
      <w:r>
        <w:t>S 12 – Posoda se ne sme nepredušno zapreti.</w:t>
      </w:r>
    </w:p>
    <w:p w:rsidR="00924FD1" w:rsidRDefault="00417F80">
      <w:pPr>
        <w:ind w:left="1416"/>
      </w:pPr>
      <w:r>
        <w:t>S 13 – Hraniti proč od prehrambnih izdelkov, pijače in krme.</w:t>
      </w:r>
    </w:p>
    <w:p w:rsidR="00924FD1" w:rsidRDefault="00417F80">
      <w:pPr>
        <w:ind w:left="1416"/>
      </w:pPr>
      <w:r>
        <w:t>S 14 – Držati proč od … (proizvajalec mora navesti inkompatibilne snovi).</w:t>
      </w:r>
    </w:p>
    <w:p w:rsidR="00924FD1" w:rsidRDefault="00417F80">
      <w:pPr>
        <w:ind w:left="1416"/>
      </w:pPr>
      <w:r>
        <w:t>S 15 – Zaščititi pred toploto.</w:t>
      </w:r>
    </w:p>
    <w:p w:rsidR="00924FD1" w:rsidRDefault="00417F80">
      <w:pPr>
        <w:ind w:left="1416"/>
      </w:pPr>
      <w:r>
        <w:t>S 16 – Držati proč od virov vžiga – ne kaditi.</w:t>
      </w:r>
    </w:p>
    <w:p w:rsidR="00924FD1" w:rsidRDefault="00924FD1"/>
    <w:p w:rsidR="00924FD1" w:rsidRDefault="00417F80">
      <w:pPr>
        <w:pStyle w:val="Heading1"/>
        <w:numPr>
          <w:ilvl w:val="0"/>
          <w:numId w:val="2"/>
        </w:numPr>
        <w:jc w:val="left"/>
      </w:pPr>
      <w:r>
        <w:t>Laboratorijski pribor</w:t>
      </w:r>
    </w:p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417F80">
      <w:r>
        <w:t xml:space="preserve">pladenj                                                čaša                                                                merilni valj  </w:t>
      </w:r>
    </w:p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417F80">
      <w:r>
        <w:t xml:space="preserve">žlička                                           steklena palčka                                                       tehtnica         </w:t>
      </w:r>
    </w:p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417F80">
      <w:r>
        <w:t>pipeta                                                kapalka</w:t>
      </w:r>
    </w:p>
    <w:p w:rsidR="00924FD1" w:rsidRDefault="00924FD1"/>
    <w:p w:rsidR="00924FD1" w:rsidRDefault="00417F80">
      <w:pPr>
        <w:pStyle w:val="Heading1"/>
        <w:numPr>
          <w:ilvl w:val="0"/>
          <w:numId w:val="2"/>
        </w:numPr>
        <w:jc w:val="left"/>
      </w:pPr>
      <w:r>
        <w:t xml:space="preserve">Navodila za delo </w:t>
      </w:r>
    </w:p>
    <w:p w:rsidR="00924FD1" w:rsidRDefault="00417F80">
      <w:r>
        <w:t>a) Po tem, ko izračunamo vse mase, stehtamo v topljenec čaši. V čašo dodamo izračunano maso vode. Dobro premešamo z stekleno palčno, da se ves natrijev acetat raztopi v vodi.</w:t>
      </w:r>
    </w:p>
    <w:p w:rsidR="00924FD1" w:rsidRDefault="00417F80">
      <w:r>
        <w:t>b) Po izračunih najprej nalijemo z merilnim valjem v čašo izračunano količino vode. Potem s pipeto vzamemo določen del etanola. Tu moramo paziti na spodnji minisk. Etanol dodamo vodi in s stekleno palčko premešamo.</w:t>
      </w:r>
    </w:p>
    <w:p w:rsidR="00924FD1" w:rsidRDefault="00924FD1"/>
    <w:p w:rsidR="00924FD1" w:rsidRDefault="00417F80">
      <w:pPr>
        <w:pStyle w:val="Heading1"/>
        <w:numPr>
          <w:ilvl w:val="0"/>
          <w:numId w:val="2"/>
        </w:numPr>
        <w:jc w:val="left"/>
      </w:pPr>
      <w:r>
        <w:t>Skica aparature</w:t>
      </w:r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 fillcolor="window">
            <v:imagedata r:id="rId7" o:title=""/>
          </v:shape>
          <o:OLEObject Type="Embed" ProgID="Equation.3" ShapeID="_x0000_i1025" DrawAspect="Content" ObjectID="_1618906912" r:id="rId8"/>
        </w:object>
      </w:r>
    </w:p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924FD1"/>
    <w:p w:rsidR="00924FD1" w:rsidRDefault="00417F80">
      <w:pPr>
        <w:pStyle w:val="Heading1"/>
        <w:numPr>
          <w:ilvl w:val="0"/>
          <w:numId w:val="2"/>
        </w:numPr>
        <w:jc w:val="left"/>
      </w:pPr>
      <w:r>
        <w:t>Rezultati opazovanja</w:t>
      </w:r>
    </w:p>
    <w:p w:rsidR="00924FD1" w:rsidRDefault="00417F80">
      <w:r>
        <w:t>Z vajo smo se naučili mešati procentne raztopine tako z trdnim kot tudi tekočim topljencem.</w:t>
      </w:r>
    </w:p>
    <w:p w:rsidR="00924FD1" w:rsidRDefault="00417F80">
      <w:r>
        <w:t>Najprej izračunamo v obeh primerih koliko topljenca (CH</w:t>
      </w:r>
      <w:r>
        <w:rPr>
          <w:vertAlign w:val="subscript"/>
        </w:rPr>
        <w:t>3</w:t>
      </w:r>
      <w:r>
        <w:t>COONa ali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OH) in topila (H</w:t>
      </w:r>
      <w:r>
        <w:rPr>
          <w:vertAlign w:val="subscript"/>
        </w:rPr>
        <w:t>2</w:t>
      </w:r>
      <w:r>
        <w:t xml:space="preserve">O) bomo potrebovali, da bomo dobili želeno raztopino: </w:t>
      </w:r>
    </w:p>
    <w:p w:rsidR="00924FD1" w:rsidRDefault="00417F80">
      <w:r>
        <w:t>a)</w:t>
      </w:r>
      <w:r>
        <w:rPr>
          <w:u w:val="single"/>
        </w:rPr>
        <w:t>170g 0,9% CH</w:t>
      </w:r>
      <w:r>
        <w:rPr>
          <w:u w:val="single"/>
          <w:vertAlign w:val="subscript"/>
        </w:rPr>
        <w:t>3</w:t>
      </w:r>
      <w:r>
        <w:rPr>
          <w:u w:val="single"/>
        </w:rPr>
        <w:t xml:space="preserve">COONa: </w:t>
      </w:r>
      <w:r>
        <w:rPr>
          <w:position w:val="-24"/>
        </w:rPr>
        <w:object w:dxaOrig="2280" w:dyaOrig="620">
          <v:shape id="_x0000_i1026" type="#_x0000_t75" style="width:114pt;height:30.75pt" o:ole="" fillcolor="window">
            <v:imagedata r:id="rId9" o:title=""/>
          </v:shape>
          <o:OLEObject Type="Embed" ProgID="Equation.3" ShapeID="_x0000_i1026" DrawAspect="Content" ObjectID="_1618906913" r:id="rId10"/>
        </w:object>
      </w:r>
      <w:r>
        <w:t xml:space="preserve">  </w:t>
      </w:r>
      <w:r>
        <w:rPr>
          <w:position w:val="-28"/>
        </w:rPr>
        <w:object w:dxaOrig="2420" w:dyaOrig="660">
          <v:shape id="_x0000_i1027" type="#_x0000_t75" style="width:121.5pt;height:33pt" o:ole="" fillcolor="window">
            <v:imagedata r:id="rId11" o:title=""/>
          </v:shape>
          <o:OLEObject Type="Embed" ProgID="Equation.3" ShapeID="_x0000_i1027" DrawAspect="Content" ObjectID="_1618906914" r:id="rId12"/>
        </w:object>
      </w:r>
    </w:p>
    <w:p w:rsidR="00924FD1" w:rsidRDefault="00417F80">
      <w:r>
        <w:t xml:space="preserve">    H</w:t>
      </w:r>
      <w:r>
        <w:rPr>
          <w:vertAlign w:val="subscript"/>
        </w:rPr>
        <w:t>2</w:t>
      </w:r>
      <w:r>
        <w:t xml:space="preserve">O: </w:t>
      </w:r>
      <w:r>
        <w:rPr>
          <w:position w:val="-10"/>
        </w:rPr>
        <w:object w:dxaOrig="1260" w:dyaOrig="320">
          <v:shape id="_x0000_i1028" type="#_x0000_t75" style="width:63pt;height:15.75pt" o:ole="" fillcolor="window">
            <v:imagedata r:id="rId13" o:title=""/>
          </v:shape>
          <o:OLEObject Type="Embed" ProgID="Equation.3" ShapeID="_x0000_i1028" DrawAspect="Content" ObjectID="_1618906915" r:id="rId14"/>
        </w:object>
      </w:r>
      <w:r>
        <w:t xml:space="preserve">   </w:t>
      </w:r>
      <w:r>
        <w:rPr>
          <w:position w:val="-28"/>
        </w:rPr>
        <w:object w:dxaOrig="3100" w:dyaOrig="660">
          <v:shape id="_x0000_i1029" type="#_x0000_t75" style="width:154.5pt;height:33pt" o:ole="" fillcolor="window">
            <v:imagedata r:id="rId15" o:title=""/>
          </v:shape>
          <o:OLEObject Type="Embed" ProgID="Equation.3" ShapeID="_x0000_i1029" DrawAspect="Content" ObjectID="_1618906916" r:id="rId16"/>
        </w:object>
      </w:r>
    </w:p>
    <w:p w:rsidR="00924FD1" w:rsidRDefault="00924FD1"/>
    <w:p w:rsidR="00924FD1" w:rsidRDefault="00924FD1"/>
    <w:p w:rsidR="00924FD1" w:rsidRDefault="00417F80">
      <w:r>
        <w:t>b)</w:t>
      </w:r>
      <w:r>
        <w:rPr>
          <w:u w:val="single"/>
        </w:rPr>
        <w:t>220g 1,1g C</w:t>
      </w:r>
      <w:r>
        <w:rPr>
          <w:u w:val="single"/>
          <w:vertAlign w:val="subscript"/>
        </w:rPr>
        <w:t>2</w:t>
      </w:r>
      <w:r>
        <w:rPr>
          <w:u w:val="single"/>
        </w:rPr>
        <w:t>H</w:t>
      </w:r>
      <w:r>
        <w:rPr>
          <w:u w:val="single"/>
          <w:vertAlign w:val="subscript"/>
        </w:rPr>
        <w:t>5</w:t>
      </w:r>
      <w:r>
        <w:rPr>
          <w:u w:val="single"/>
        </w:rPr>
        <w:t>OH</w:t>
      </w:r>
      <w:r>
        <w:t xml:space="preserve">: </w:t>
      </w:r>
      <w:r>
        <w:rPr>
          <w:position w:val="-28"/>
        </w:rPr>
        <w:object w:dxaOrig="2340" w:dyaOrig="660">
          <v:shape id="_x0000_i1030" type="#_x0000_t75" style="width:117pt;height:33pt" o:ole="" fillcolor="window">
            <v:imagedata r:id="rId17" o:title=""/>
          </v:shape>
          <o:OLEObject Type="Embed" ProgID="Equation.3" ShapeID="_x0000_i1030" DrawAspect="Content" ObjectID="_1618906917" r:id="rId18"/>
        </w:object>
      </w:r>
      <w:r>
        <w:t xml:space="preserve">      </w:t>
      </w:r>
      <w:r>
        <w:rPr>
          <w:position w:val="-28"/>
        </w:rPr>
        <w:object w:dxaOrig="2640" w:dyaOrig="660">
          <v:shape id="_x0000_i1031" type="#_x0000_t75" style="width:132pt;height:33pt" o:ole="" fillcolor="window">
            <v:imagedata r:id="rId19" o:title=""/>
          </v:shape>
          <o:OLEObject Type="Embed" ProgID="Equation.3" ShapeID="_x0000_i1031" DrawAspect="Content" ObjectID="_1618906918" r:id="rId20"/>
        </w:object>
      </w:r>
    </w:p>
    <w:p w:rsidR="00924FD1" w:rsidRDefault="00417F80">
      <w:r>
        <w:t xml:space="preserve">    H</w:t>
      </w:r>
      <w:r>
        <w:rPr>
          <w:vertAlign w:val="subscript"/>
        </w:rPr>
        <w:t>2</w:t>
      </w:r>
      <w:r>
        <w:t xml:space="preserve">O: </w:t>
      </w:r>
      <w:r>
        <w:rPr>
          <w:position w:val="-10"/>
        </w:rPr>
        <w:object w:dxaOrig="1300" w:dyaOrig="320">
          <v:shape id="_x0000_i1032" type="#_x0000_t75" style="width:65.25pt;height:15.75pt" o:ole="" fillcolor="window">
            <v:imagedata r:id="rId21" o:title=""/>
          </v:shape>
          <o:OLEObject Type="Embed" ProgID="Equation.3" ShapeID="_x0000_i1032" DrawAspect="Content" ObjectID="_1618906919" r:id="rId22"/>
        </w:object>
      </w:r>
      <w:r>
        <w:t xml:space="preserve">        </w:t>
      </w:r>
      <w:r>
        <w:rPr>
          <w:position w:val="-28"/>
        </w:rPr>
        <w:object w:dxaOrig="3159" w:dyaOrig="660">
          <v:shape id="_x0000_i1033" type="#_x0000_t75" style="width:158.25pt;height:33pt" o:ole="" fillcolor="window">
            <v:imagedata r:id="rId23" o:title=""/>
          </v:shape>
          <o:OLEObject Type="Embed" ProgID="Equation.3" ShapeID="_x0000_i1033" DrawAspect="Content" ObjectID="_1618906920" r:id="rId24"/>
        </w:object>
      </w:r>
    </w:p>
    <w:p w:rsidR="00924FD1" w:rsidRDefault="00924FD1"/>
    <w:p w:rsidR="00924FD1" w:rsidRDefault="00417F80">
      <w:pPr>
        <w:pStyle w:val="Heading1"/>
        <w:numPr>
          <w:ilvl w:val="0"/>
          <w:numId w:val="2"/>
        </w:numPr>
        <w:jc w:val="left"/>
      </w:pPr>
      <w:r>
        <w:t>Varnost pri delu</w:t>
      </w:r>
    </w:p>
    <w:p w:rsidR="00924FD1" w:rsidRDefault="00417F80">
      <w:r>
        <w:t>Pri delu smo uporabljali predpasnik in varnostna očala.</w:t>
      </w:r>
    </w:p>
    <w:sectPr w:rsidR="00924FD1">
      <w:headerReference w:type="default" r:id="rId25"/>
      <w:footerReference w:type="default" r:id="rId26"/>
      <w:pgSz w:w="11907" w:h="16840" w:code="9"/>
      <w:pgMar w:top="1134" w:right="1134" w:bottom="1016" w:left="1418" w:header="964" w:footer="78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D1" w:rsidRDefault="00417F80">
      <w:r>
        <w:separator/>
      </w:r>
    </w:p>
  </w:endnote>
  <w:endnote w:type="continuationSeparator" w:id="0">
    <w:p w:rsidR="00924FD1" w:rsidRDefault="0041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D1" w:rsidRDefault="00924FD1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D1" w:rsidRDefault="00417F80">
      <w:r>
        <w:separator/>
      </w:r>
    </w:p>
  </w:footnote>
  <w:footnote w:type="continuationSeparator" w:id="0">
    <w:p w:rsidR="00924FD1" w:rsidRDefault="0041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D1" w:rsidRDefault="00417F80">
    <w:pPr>
      <w:pStyle w:val="Header"/>
      <w:pBdr>
        <w:bottom w:val="single" w:sz="4" w:space="1" w:color="auto"/>
      </w:pBdr>
      <w:jc w:val="center"/>
    </w:pPr>
    <w:r>
      <w:t>Kemijske vaje - Raztopine s procentno koncentracijo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2F38"/>
    <w:multiLevelType w:val="hybridMultilevel"/>
    <w:tmpl w:val="3970CB2C"/>
    <w:lvl w:ilvl="0" w:tplc="ADC4B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661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66BC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5206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8A10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4081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24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0C13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CA69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C56276"/>
    <w:multiLevelType w:val="hybridMultilevel"/>
    <w:tmpl w:val="89422432"/>
    <w:lvl w:ilvl="0" w:tplc="4E7C5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619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1E85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08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82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B4F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46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E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40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80"/>
    <w:rsid w:val="00175799"/>
    <w:rsid w:val="00417F80"/>
    <w:rsid w:val="009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