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2B" w:rsidRPr="009A722B" w:rsidRDefault="009A722B" w:rsidP="009A722B">
      <w:pPr>
        <w:spacing w:after="0"/>
        <w:contextualSpacing/>
        <w:jc w:val="center"/>
        <w:rPr>
          <w:rFonts w:cs="Calibri"/>
          <w:b/>
          <w:sz w:val="32"/>
          <w:szCs w:val="32"/>
        </w:rPr>
      </w:pPr>
      <w:bookmarkStart w:id="0" w:name="_GoBack"/>
      <w:bookmarkEnd w:id="0"/>
      <w:r w:rsidRPr="009A722B">
        <w:rPr>
          <w:rFonts w:cs="Calibri"/>
          <w:b/>
          <w:sz w:val="32"/>
          <w:szCs w:val="32"/>
        </w:rPr>
        <w:t>5. vaja: Redoks vrsta</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t>1. Uvod:</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r w:rsidRPr="009A722B">
        <w:rPr>
          <w:rFonts w:cs="Calibri"/>
          <w:sz w:val="24"/>
          <w:szCs w:val="24"/>
        </w:rPr>
        <w:t>Redoks reakcija je reakcija, pri kateri potekata hkrati redukcija in oksidacija. Pri oksidaciji se oksidacijsko število elementa zveča. Pri redukciji se oksidacijsko število elementa zmanjša. Reducent je snov, ki se sam oksidira - odda elektrone in s tem drugega reducira. Oksidant je snov, ki se reducira - sprejme elektrone in s tem drugega oksidira.</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t>2. Cilji vaje:</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Cs/>
          <w:sz w:val="24"/>
          <w:szCs w:val="24"/>
        </w:rPr>
      </w:pPr>
      <w:r w:rsidRPr="009A722B">
        <w:rPr>
          <w:rFonts w:cs="Calibri"/>
          <w:bCs/>
          <w:sz w:val="24"/>
          <w:szCs w:val="24"/>
        </w:rPr>
        <w:t xml:space="preserve">Dijaki: </w:t>
      </w:r>
    </w:p>
    <w:p w:rsidR="009A722B" w:rsidRPr="009A722B" w:rsidRDefault="009A722B" w:rsidP="009A722B">
      <w:pPr>
        <w:numPr>
          <w:ilvl w:val="0"/>
          <w:numId w:val="12"/>
        </w:numPr>
        <w:spacing w:after="0"/>
        <w:contextualSpacing/>
        <w:jc w:val="both"/>
        <w:rPr>
          <w:rFonts w:cs="Calibri"/>
          <w:bCs/>
          <w:sz w:val="24"/>
          <w:szCs w:val="24"/>
        </w:rPr>
      </w:pPr>
      <w:r w:rsidRPr="009A722B">
        <w:rPr>
          <w:rFonts w:cs="Calibri"/>
          <w:bCs/>
          <w:sz w:val="24"/>
          <w:szCs w:val="24"/>
        </w:rPr>
        <w:t xml:space="preserve">izvedejo reakcije elementarnih kovin (cink, železo, baker, aluminij in magnezij) z vodnimi raztopinami ionov istih kovin </w:t>
      </w:r>
    </w:p>
    <w:p w:rsidR="009A722B" w:rsidRPr="009A722B" w:rsidRDefault="009A722B" w:rsidP="009A722B">
      <w:pPr>
        <w:numPr>
          <w:ilvl w:val="0"/>
          <w:numId w:val="12"/>
        </w:numPr>
        <w:spacing w:after="0"/>
        <w:contextualSpacing/>
        <w:jc w:val="both"/>
        <w:rPr>
          <w:rFonts w:cs="Calibri"/>
          <w:bCs/>
          <w:sz w:val="24"/>
          <w:szCs w:val="24"/>
        </w:rPr>
      </w:pPr>
      <w:r w:rsidRPr="009A722B">
        <w:rPr>
          <w:rFonts w:cs="Calibri"/>
          <w:bCs/>
          <w:sz w:val="24"/>
          <w:szCs w:val="24"/>
        </w:rPr>
        <w:t>ugotovijo katere kovine izpodrivajo vodik iz vodne raztopine klorovodikove kisline</w:t>
      </w:r>
    </w:p>
    <w:p w:rsidR="009A722B" w:rsidRPr="009A722B" w:rsidRDefault="009A722B" w:rsidP="009A722B">
      <w:pPr>
        <w:numPr>
          <w:ilvl w:val="0"/>
          <w:numId w:val="12"/>
        </w:numPr>
        <w:spacing w:after="0"/>
        <w:contextualSpacing/>
        <w:jc w:val="both"/>
        <w:rPr>
          <w:rFonts w:cs="Calibri"/>
          <w:bCs/>
          <w:sz w:val="24"/>
          <w:szCs w:val="24"/>
        </w:rPr>
      </w:pPr>
      <w:r w:rsidRPr="009A722B">
        <w:rPr>
          <w:rFonts w:cs="Calibri"/>
          <w:bCs/>
          <w:sz w:val="24"/>
          <w:szCs w:val="24"/>
        </w:rPr>
        <w:t>razvrstijo kovine na osnovi rezultatov v tabeli v redoks vrsto od leve proti  desni – od najmočnejšega reducenta do najmočnejšega oksidanta</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t>3. Seznam laboratorijskega inventarja, pripomočkov in kemikalij:</w:t>
      </w:r>
    </w:p>
    <w:p w:rsidR="009A722B" w:rsidRPr="009A722B" w:rsidRDefault="009A722B" w:rsidP="009A722B">
      <w:pPr>
        <w:spacing w:after="0"/>
        <w:contextualSpacing/>
        <w:jc w:val="both"/>
        <w:rPr>
          <w:rFonts w:cs="Calibri"/>
          <w:b/>
          <w:sz w:val="24"/>
          <w:szCs w:val="24"/>
        </w:rPr>
      </w:pPr>
    </w:p>
    <w:p w:rsidR="009A722B" w:rsidRPr="009A722B" w:rsidRDefault="009A722B" w:rsidP="009A722B">
      <w:pPr>
        <w:pStyle w:val="ListParagraph"/>
        <w:numPr>
          <w:ilvl w:val="0"/>
          <w:numId w:val="13"/>
        </w:numPr>
        <w:spacing w:after="0"/>
        <w:jc w:val="both"/>
        <w:rPr>
          <w:rFonts w:cs="Calibri"/>
          <w:sz w:val="24"/>
          <w:szCs w:val="24"/>
        </w:rPr>
      </w:pPr>
      <w:r w:rsidRPr="009A722B">
        <w:rPr>
          <w:rFonts w:cs="Calibri"/>
          <w:sz w:val="24"/>
          <w:szCs w:val="24"/>
        </w:rPr>
        <w:t>zaščitna očala in rokavice</w:t>
      </w:r>
    </w:p>
    <w:p w:rsidR="009A722B" w:rsidRPr="009A722B" w:rsidRDefault="009A722B" w:rsidP="009A722B">
      <w:pPr>
        <w:pStyle w:val="ListParagraph"/>
        <w:numPr>
          <w:ilvl w:val="0"/>
          <w:numId w:val="13"/>
        </w:numPr>
        <w:spacing w:after="0"/>
        <w:jc w:val="both"/>
        <w:rPr>
          <w:rFonts w:cs="Calibri"/>
          <w:sz w:val="24"/>
          <w:szCs w:val="24"/>
        </w:rPr>
      </w:pPr>
      <w:r w:rsidRPr="009A722B">
        <w:rPr>
          <w:rFonts w:cs="Calibri"/>
          <w:sz w:val="24"/>
          <w:szCs w:val="24"/>
        </w:rPr>
        <w:t>laboratorijska halja</w:t>
      </w:r>
    </w:p>
    <w:p w:rsidR="009A722B" w:rsidRPr="009A722B" w:rsidRDefault="009A722B" w:rsidP="009A722B">
      <w:pPr>
        <w:pStyle w:val="ListParagraph"/>
        <w:numPr>
          <w:ilvl w:val="0"/>
          <w:numId w:val="13"/>
        </w:numPr>
        <w:spacing w:after="0"/>
        <w:jc w:val="both"/>
        <w:rPr>
          <w:rFonts w:cs="Calibri"/>
          <w:sz w:val="24"/>
          <w:szCs w:val="24"/>
        </w:rPr>
      </w:pPr>
      <w:r w:rsidRPr="009A722B">
        <w:rPr>
          <w:rFonts w:cs="Calibri"/>
          <w:sz w:val="24"/>
          <w:szCs w:val="24"/>
        </w:rPr>
        <w:t>epruvete</w:t>
      </w:r>
    </w:p>
    <w:p w:rsidR="009A722B" w:rsidRPr="009A722B" w:rsidRDefault="009A722B" w:rsidP="009A722B">
      <w:pPr>
        <w:pStyle w:val="ListParagraph"/>
        <w:numPr>
          <w:ilvl w:val="0"/>
          <w:numId w:val="13"/>
        </w:numPr>
        <w:spacing w:after="0"/>
        <w:jc w:val="both"/>
        <w:rPr>
          <w:rFonts w:cs="Calibri"/>
          <w:sz w:val="24"/>
          <w:szCs w:val="24"/>
        </w:rPr>
      </w:pPr>
      <w:r w:rsidRPr="009A722B">
        <w:rPr>
          <w:rFonts w:cs="Calibri"/>
          <w:sz w:val="24"/>
          <w:szCs w:val="24"/>
        </w:rPr>
        <w:t>elementarne kovine: Zn, Fe, Cu, Mg, Al</w:t>
      </w:r>
    </w:p>
    <w:p w:rsidR="009A722B" w:rsidRPr="009A722B" w:rsidRDefault="009A722B" w:rsidP="009A722B">
      <w:pPr>
        <w:pStyle w:val="ListParagraph"/>
        <w:numPr>
          <w:ilvl w:val="0"/>
          <w:numId w:val="13"/>
        </w:numPr>
        <w:spacing w:after="0"/>
        <w:jc w:val="both"/>
        <w:rPr>
          <w:rFonts w:cs="Calibri"/>
          <w:sz w:val="24"/>
          <w:szCs w:val="24"/>
        </w:rPr>
      </w:pPr>
      <w:r w:rsidRPr="009A722B">
        <w:rPr>
          <w:rFonts w:cs="Calibri"/>
          <w:sz w:val="24"/>
          <w:szCs w:val="24"/>
        </w:rPr>
        <w:t>vodne raztopine sulfatov teh kovin</w:t>
      </w:r>
    </w:p>
    <w:p w:rsidR="009A722B" w:rsidRPr="009A722B" w:rsidRDefault="009A722B" w:rsidP="009A722B">
      <w:pPr>
        <w:pStyle w:val="ListParagraph"/>
        <w:spacing w:after="0"/>
        <w:jc w:val="both"/>
        <w:rPr>
          <w:rFonts w:cs="Calibri"/>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t>4. Opis dela in varnostni ukrepi:</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V epruvete nalijemo vse vodne raztopine sulfatov vseh kovin in klorovodikovo kislino. Dodajamo eno izmed kovin v vse epruvete in opazujemo ali reakcija potek. Postopek ponavljamo z vsemi kovinami. S pomočjo rezultatov razporedimo polčlene vseh kovin v redoks vrsto.</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lastRenderedPageBreak/>
        <w:t>5. Meritve in opažanja:</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Tabela 1:</w:t>
      </w:r>
    </w:p>
    <w:p w:rsidR="009A722B" w:rsidRPr="009A722B" w:rsidRDefault="009A722B" w:rsidP="009A722B">
      <w:pPr>
        <w:spacing w:after="0"/>
        <w:contextualSpacing/>
        <w:jc w:val="both"/>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316"/>
        <w:gridCol w:w="1316"/>
        <w:gridCol w:w="1316"/>
        <w:gridCol w:w="1316"/>
        <w:gridCol w:w="1316"/>
        <w:gridCol w:w="1316"/>
      </w:tblGrid>
      <w:tr w:rsidR="009A722B" w:rsidRPr="00A010E0" w:rsidTr="009A722B">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Snov</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ZnSO</w:t>
            </w:r>
            <w:r w:rsidRPr="009A722B">
              <w:rPr>
                <w:rFonts w:cs="Calibri"/>
                <w:sz w:val="24"/>
                <w:szCs w:val="24"/>
                <w:vertAlign w:val="subscript"/>
              </w:rPr>
              <w:t>4</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FeSO</w:t>
            </w:r>
            <w:r w:rsidRPr="009A722B">
              <w:rPr>
                <w:rFonts w:cs="Calibri"/>
                <w:sz w:val="24"/>
                <w:szCs w:val="24"/>
                <w:vertAlign w:val="subscript"/>
              </w:rPr>
              <w:t>4</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CuSO</w:t>
            </w:r>
            <w:r w:rsidRPr="009A722B">
              <w:rPr>
                <w:rFonts w:cs="Calibri"/>
                <w:sz w:val="24"/>
                <w:szCs w:val="24"/>
                <w:vertAlign w:val="subscript"/>
              </w:rPr>
              <w:t>4</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MgSO</w:t>
            </w:r>
            <w:r w:rsidRPr="009A722B">
              <w:rPr>
                <w:rFonts w:cs="Calibri"/>
                <w:sz w:val="24"/>
                <w:szCs w:val="24"/>
                <w:vertAlign w:val="subscript"/>
              </w:rPr>
              <w:t>4</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Al</w:t>
            </w:r>
            <w:r w:rsidRPr="009A722B">
              <w:rPr>
                <w:rFonts w:cs="Calibri"/>
                <w:sz w:val="24"/>
                <w:szCs w:val="24"/>
                <w:vertAlign w:val="subscript"/>
              </w:rPr>
              <w:t>2</w:t>
            </w:r>
            <w:r w:rsidRPr="009A722B">
              <w:rPr>
                <w:rFonts w:cs="Calibri"/>
                <w:sz w:val="24"/>
                <w:szCs w:val="24"/>
              </w:rPr>
              <w:t>(SO</w:t>
            </w:r>
            <w:r w:rsidRPr="009A722B">
              <w:rPr>
                <w:rFonts w:cs="Calibri"/>
                <w:sz w:val="24"/>
                <w:szCs w:val="24"/>
                <w:vertAlign w:val="subscript"/>
              </w:rPr>
              <w:t>4</w:t>
            </w:r>
            <w:r w:rsidRPr="009A722B">
              <w:rPr>
                <w:rFonts w:cs="Calibri"/>
                <w:sz w:val="24"/>
                <w:szCs w:val="24"/>
              </w:rPr>
              <w:t>)</w:t>
            </w:r>
            <w:r w:rsidRPr="009A722B">
              <w:rPr>
                <w:rFonts w:cs="Calibri"/>
                <w:sz w:val="24"/>
                <w:szCs w:val="24"/>
                <w:vertAlign w:val="subscript"/>
              </w:rPr>
              <w:t>3</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HCl</w:t>
            </w:r>
          </w:p>
        </w:tc>
      </w:tr>
      <w:tr w:rsidR="009A722B" w:rsidRPr="00A010E0" w:rsidTr="009A722B">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Zn</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r>
      <w:tr w:rsidR="009A722B" w:rsidRPr="00A010E0" w:rsidTr="009A722B">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Fe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r>
      <w:tr w:rsidR="009A722B" w:rsidRPr="00A010E0" w:rsidTr="009A722B">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Cu</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r>
      <w:tr w:rsidR="009A722B" w:rsidRPr="00A010E0" w:rsidTr="009A722B">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Mg</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r>
      <w:tr w:rsidR="009A722B" w:rsidRPr="00A010E0" w:rsidTr="009A722B">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Al</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ne</w:t>
            </w:r>
          </w:p>
        </w:tc>
        <w:tc>
          <w:tcPr>
            <w:tcW w:w="131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da</w:t>
            </w:r>
          </w:p>
        </w:tc>
      </w:tr>
    </w:tbl>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Tabela 2:</w:t>
      </w:r>
    </w:p>
    <w:p w:rsidR="009A722B" w:rsidRPr="009A722B" w:rsidRDefault="009A722B" w:rsidP="009A722B">
      <w:pPr>
        <w:spacing w:after="0"/>
        <w:contextualSpacing/>
        <w:jc w:val="both"/>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9A722B" w:rsidRPr="00A010E0" w:rsidTr="009A722B">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redoks par</w:t>
            </w:r>
          </w:p>
        </w:tc>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Mg</w:t>
            </w:r>
            <w:r w:rsidRPr="009A722B">
              <w:rPr>
                <w:rFonts w:cs="Calibri"/>
                <w:sz w:val="24"/>
                <w:szCs w:val="24"/>
                <w:vertAlign w:val="superscript"/>
              </w:rPr>
              <w:t>2+</w:t>
            </w:r>
            <w:r w:rsidRPr="009A722B">
              <w:rPr>
                <w:rFonts w:cs="Calibri"/>
                <w:sz w:val="24"/>
                <w:szCs w:val="24"/>
              </w:rPr>
              <w:t>/Mg</w:t>
            </w:r>
          </w:p>
        </w:tc>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Al</w:t>
            </w:r>
            <w:r w:rsidRPr="009A722B">
              <w:rPr>
                <w:rFonts w:cs="Calibri"/>
                <w:sz w:val="24"/>
                <w:szCs w:val="24"/>
                <w:vertAlign w:val="superscript"/>
              </w:rPr>
              <w:t>3+</w:t>
            </w:r>
            <w:r w:rsidRPr="009A722B">
              <w:rPr>
                <w:rFonts w:cs="Calibri"/>
                <w:sz w:val="24"/>
                <w:szCs w:val="24"/>
              </w:rPr>
              <w:t>/Al</w:t>
            </w:r>
          </w:p>
        </w:tc>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Zn</w:t>
            </w:r>
            <w:r w:rsidRPr="009A722B">
              <w:rPr>
                <w:rFonts w:cs="Calibri"/>
                <w:sz w:val="24"/>
                <w:szCs w:val="24"/>
                <w:vertAlign w:val="superscript"/>
              </w:rPr>
              <w:t>2+</w:t>
            </w:r>
            <w:r w:rsidRPr="009A722B">
              <w:rPr>
                <w:rFonts w:cs="Calibri"/>
                <w:sz w:val="24"/>
                <w:szCs w:val="24"/>
              </w:rPr>
              <w:t>/Zn</w:t>
            </w:r>
          </w:p>
        </w:tc>
        <w:tc>
          <w:tcPr>
            <w:tcW w:w="153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Fe</w:t>
            </w:r>
            <w:r w:rsidRPr="009A722B">
              <w:rPr>
                <w:rFonts w:cs="Calibri"/>
                <w:sz w:val="24"/>
                <w:szCs w:val="24"/>
                <w:vertAlign w:val="superscript"/>
              </w:rPr>
              <w:t>2+</w:t>
            </w:r>
            <w:r w:rsidRPr="009A722B">
              <w:rPr>
                <w:rFonts w:cs="Calibri"/>
                <w:sz w:val="24"/>
                <w:szCs w:val="24"/>
              </w:rPr>
              <w:t>/Fe</w:t>
            </w:r>
          </w:p>
        </w:tc>
        <w:tc>
          <w:tcPr>
            <w:tcW w:w="153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Cu</w:t>
            </w:r>
            <w:r w:rsidRPr="009A722B">
              <w:rPr>
                <w:rFonts w:cs="Calibri"/>
                <w:sz w:val="24"/>
                <w:szCs w:val="24"/>
                <w:vertAlign w:val="superscript"/>
              </w:rPr>
              <w:t>2+</w:t>
            </w:r>
            <w:r w:rsidRPr="009A722B">
              <w:rPr>
                <w:rFonts w:cs="Calibri"/>
                <w:sz w:val="24"/>
                <w:szCs w:val="24"/>
              </w:rPr>
              <w:t>/Cu</w:t>
            </w:r>
          </w:p>
        </w:tc>
      </w:tr>
      <w:tr w:rsidR="009A722B" w:rsidRPr="00A010E0" w:rsidTr="009A722B">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E° (V)</w:t>
            </w:r>
          </w:p>
        </w:tc>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-2,37</w:t>
            </w:r>
          </w:p>
        </w:tc>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-1,66</w:t>
            </w:r>
          </w:p>
        </w:tc>
        <w:tc>
          <w:tcPr>
            <w:tcW w:w="1535"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-0,76</w:t>
            </w:r>
          </w:p>
        </w:tc>
        <w:tc>
          <w:tcPr>
            <w:tcW w:w="153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-0,44</w:t>
            </w:r>
          </w:p>
        </w:tc>
        <w:tc>
          <w:tcPr>
            <w:tcW w:w="1536" w:type="dxa"/>
            <w:shd w:val="clear" w:color="auto" w:fill="auto"/>
          </w:tcPr>
          <w:p w:rsidR="009A722B" w:rsidRPr="009A722B" w:rsidRDefault="009A722B" w:rsidP="009A722B">
            <w:pPr>
              <w:contextualSpacing/>
              <w:jc w:val="both"/>
              <w:rPr>
                <w:rFonts w:cs="Calibri"/>
                <w:sz w:val="24"/>
                <w:szCs w:val="24"/>
              </w:rPr>
            </w:pPr>
            <w:r w:rsidRPr="009A722B">
              <w:rPr>
                <w:rFonts w:cs="Calibri"/>
                <w:sz w:val="24"/>
                <w:szCs w:val="24"/>
              </w:rPr>
              <w:t>+0,34</w:t>
            </w:r>
          </w:p>
        </w:tc>
      </w:tr>
    </w:tbl>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t>6. Izračuni:</w:t>
      </w: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a) Napetost galvanskega člena, ki je sestavljen iz magnezijevega in železovega polčlena:</w:t>
      </w: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U°(člena) = E°(katoda) - E°(anoda) = 0,44 - (-2,37) = 1,93 V</w:t>
      </w: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b) Napetost galvanskega člena, ki je sestavljen iz železovega in cinkovega polčlena:</w:t>
      </w: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U°(člena) = E°(katoda) - E°(anoda) = 0,44 - (-0,76) = 0,32 V</w:t>
      </w: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t>7. Razlaga rezultatov:</w:t>
      </w:r>
    </w:p>
    <w:p w:rsidR="009A722B" w:rsidRPr="009A722B" w:rsidRDefault="009A722B" w:rsidP="009A722B">
      <w:pPr>
        <w:spacing w:after="0"/>
        <w:contextualSpacing/>
        <w:jc w:val="both"/>
        <w:rPr>
          <w:rFonts w:cs="Calibri"/>
          <w:b/>
          <w:sz w:val="24"/>
          <w:szCs w:val="24"/>
        </w:rPr>
      </w:pPr>
    </w:p>
    <w:p w:rsidR="009A722B" w:rsidRPr="009A722B" w:rsidRDefault="009A722B" w:rsidP="009A722B">
      <w:pPr>
        <w:spacing w:after="0"/>
        <w:contextualSpacing/>
        <w:jc w:val="both"/>
        <w:rPr>
          <w:rFonts w:cs="Calibri"/>
          <w:sz w:val="24"/>
          <w:szCs w:val="24"/>
        </w:rPr>
      </w:pPr>
      <w:r w:rsidRPr="009A722B">
        <w:rPr>
          <w:rFonts w:cs="Calibri"/>
          <w:sz w:val="24"/>
          <w:szCs w:val="24"/>
        </w:rPr>
        <w:t>Da reakcija redoks vrste poteče mora kot produkt nastati element, ki je bolj desno v redoks vrsti. Napetost galvanskega člena se izračuna tako, da od elektrodnega potenciala katode odštejemo elektrodni potencial anode.</w:t>
      </w:r>
    </w:p>
    <w:p w:rsidR="009A722B" w:rsidRPr="009A722B" w:rsidRDefault="009A722B" w:rsidP="009A722B">
      <w:pPr>
        <w:spacing w:after="0"/>
        <w:contextualSpacing/>
        <w:jc w:val="both"/>
        <w:rPr>
          <w:rFonts w:cs="Calibri"/>
          <w:sz w:val="24"/>
          <w:szCs w:val="24"/>
        </w:rPr>
      </w:pPr>
      <w:r w:rsidRPr="009A722B">
        <w:rPr>
          <w:rFonts w:cs="Calibri"/>
          <w:sz w:val="24"/>
          <w:szCs w:val="24"/>
        </w:rPr>
        <w:t>Polčlene kovin smo uredili v redoks vrsto:</w:t>
      </w:r>
    </w:p>
    <w:p w:rsidR="009A722B" w:rsidRPr="009A722B" w:rsidRDefault="009A722B" w:rsidP="009A722B">
      <w:pPr>
        <w:spacing w:after="0"/>
        <w:contextualSpacing/>
        <w:jc w:val="both"/>
        <w:rPr>
          <w:rFonts w:cs="Calibri"/>
          <w:sz w:val="24"/>
          <w:szCs w:val="24"/>
        </w:rPr>
      </w:pPr>
      <w:r w:rsidRPr="009A722B">
        <w:rPr>
          <w:rFonts w:cs="Calibri"/>
          <w:sz w:val="24"/>
          <w:szCs w:val="24"/>
        </w:rPr>
        <w:t>E°(Mg</w:t>
      </w:r>
      <w:r w:rsidRPr="009A722B">
        <w:rPr>
          <w:rFonts w:cs="Calibri"/>
          <w:sz w:val="24"/>
          <w:szCs w:val="24"/>
          <w:vertAlign w:val="superscript"/>
        </w:rPr>
        <w:t>2+</w:t>
      </w:r>
      <w:r w:rsidRPr="009A722B">
        <w:rPr>
          <w:rFonts w:cs="Calibri"/>
          <w:sz w:val="24"/>
          <w:szCs w:val="24"/>
        </w:rPr>
        <w:t xml:space="preserve">/Mg) </w:t>
      </w:r>
      <w:r w:rsidRPr="009A722B">
        <w:rPr>
          <w:rFonts w:cs="Calibri"/>
          <w:b/>
          <w:sz w:val="24"/>
          <w:szCs w:val="24"/>
        </w:rPr>
        <w:t>&lt;</w:t>
      </w:r>
      <w:r w:rsidRPr="009A722B">
        <w:rPr>
          <w:rFonts w:cs="Calibri"/>
          <w:sz w:val="24"/>
          <w:szCs w:val="24"/>
        </w:rPr>
        <w:t xml:space="preserve"> E°(Al</w:t>
      </w:r>
      <w:r w:rsidRPr="009A722B">
        <w:rPr>
          <w:rFonts w:cs="Calibri"/>
          <w:sz w:val="24"/>
          <w:szCs w:val="24"/>
          <w:vertAlign w:val="superscript"/>
        </w:rPr>
        <w:t>3+</w:t>
      </w:r>
      <w:r w:rsidRPr="009A722B">
        <w:rPr>
          <w:rFonts w:cs="Calibri"/>
          <w:sz w:val="24"/>
          <w:szCs w:val="24"/>
        </w:rPr>
        <w:t xml:space="preserve">/Al) </w:t>
      </w:r>
      <w:r w:rsidRPr="009A722B">
        <w:rPr>
          <w:rFonts w:cs="Calibri"/>
          <w:b/>
          <w:sz w:val="24"/>
          <w:szCs w:val="24"/>
        </w:rPr>
        <w:t>&lt;</w:t>
      </w:r>
      <w:r w:rsidRPr="009A722B">
        <w:rPr>
          <w:rFonts w:cs="Calibri"/>
          <w:sz w:val="24"/>
          <w:szCs w:val="24"/>
        </w:rPr>
        <w:t xml:space="preserve"> E°(Zn</w:t>
      </w:r>
      <w:r w:rsidRPr="009A722B">
        <w:rPr>
          <w:rFonts w:cs="Calibri"/>
          <w:sz w:val="24"/>
          <w:szCs w:val="24"/>
          <w:vertAlign w:val="superscript"/>
        </w:rPr>
        <w:t>2+</w:t>
      </w:r>
      <w:r w:rsidRPr="009A722B">
        <w:rPr>
          <w:rFonts w:cs="Calibri"/>
          <w:sz w:val="24"/>
          <w:szCs w:val="24"/>
        </w:rPr>
        <w:t>/Zn)</w:t>
      </w:r>
      <w:r w:rsidRPr="009A722B">
        <w:rPr>
          <w:rFonts w:cs="Calibri"/>
          <w:b/>
          <w:sz w:val="24"/>
          <w:szCs w:val="24"/>
        </w:rPr>
        <w:t>&lt;</w:t>
      </w:r>
      <w:r w:rsidRPr="009A722B">
        <w:rPr>
          <w:rFonts w:cs="Calibri"/>
          <w:sz w:val="24"/>
          <w:szCs w:val="24"/>
        </w:rPr>
        <w:t xml:space="preserve"> E°(Fe</w:t>
      </w:r>
      <w:r w:rsidRPr="009A722B">
        <w:rPr>
          <w:rFonts w:cs="Calibri"/>
          <w:sz w:val="24"/>
          <w:szCs w:val="24"/>
          <w:vertAlign w:val="superscript"/>
        </w:rPr>
        <w:t>3+</w:t>
      </w:r>
      <w:r w:rsidRPr="009A722B">
        <w:rPr>
          <w:rFonts w:cs="Calibri"/>
          <w:sz w:val="24"/>
          <w:szCs w:val="24"/>
        </w:rPr>
        <w:t xml:space="preserve">/Fe) </w:t>
      </w:r>
      <w:r w:rsidRPr="009A722B">
        <w:rPr>
          <w:rFonts w:cs="Calibri"/>
          <w:b/>
          <w:sz w:val="24"/>
          <w:szCs w:val="24"/>
        </w:rPr>
        <w:t>&lt;</w:t>
      </w:r>
      <w:r w:rsidRPr="009A722B">
        <w:rPr>
          <w:rFonts w:cs="Calibri"/>
          <w:sz w:val="24"/>
          <w:szCs w:val="24"/>
        </w:rPr>
        <w:t xml:space="preserve"> E°(Cu</w:t>
      </w:r>
      <w:r w:rsidRPr="009A722B">
        <w:rPr>
          <w:rFonts w:cs="Calibri"/>
          <w:sz w:val="24"/>
          <w:szCs w:val="24"/>
          <w:vertAlign w:val="superscript"/>
        </w:rPr>
        <w:t>2+</w:t>
      </w:r>
      <w:r w:rsidRPr="009A722B">
        <w:rPr>
          <w:rFonts w:cs="Calibri"/>
          <w:sz w:val="24"/>
          <w:szCs w:val="24"/>
        </w:rPr>
        <w:t>/Cu)</w:t>
      </w: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sz w:val="24"/>
          <w:szCs w:val="24"/>
        </w:rPr>
      </w:pPr>
    </w:p>
    <w:p w:rsidR="009A722B" w:rsidRPr="009A722B" w:rsidRDefault="009A722B" w:rsidP="009A722B">
      <w:pPr>
        <w:spacing w:after="0"/>
        <w:contextualSpacing/>
        <w:jc w:val="both"/>
        <w:rPr>
          <w:rFonts w:cs="Calibri"/>
          <w:b/>
          <w:sz w:val="24"/>
          <w:szCs w:val="24"/>
        </w:rPr>
      </w:pPr>
      <w:r w:rsidRPr="009A722B">
        <w:rPr>
          <w:rFonts w:cs="Calibri"/>
          <w:b/>
          <w:sz w:val="24"/>
          <w:szCs w:val="24"/>
        </w:rPr>
        <w:lastRenderedPageBreak/>
        <w:t>8. Zaključek in komentar:</w:t>
      </w:r>
    </w:p>
    <w:p w:rsidR="009A722B" w:rsidRPr="009A722B" w:rsidRDefault="009A722B" w:rsidP="009A722B">
      <w:pPr>
        <w:spacing w:after="0"/>
        <w:jc w:val="both"/>
        <w:rPr>
          <w:rFonts w:cs="Calibri"/>
          <w:sz w:val="24"/>
          <w:szCs w:val="24"/>
        </w:rPr>
      </w:pPr>
    </w:p>
    <w:p w:rsidR="009A722B" w:rsidRPr="009A722B" w:rsidRDefault="009A722B" w:rsidP="009A722B">
      <w:pPr>
        <w:spacing w:after="0"/>
        <w:jc w:val="both"/>
        <w:rPr>
          <w:rFonts w:cs="Calibri"/>
          <w:sz w:val="24"/>
          <w:szCs w:val="24"/>
        </w:rPr>
      </w:pPr>
      <w:r w:rsidRPr="009A722B">
        <w:rPr>
          <w:rFonts w:cs="Calibri"/>
          <w:sz w:val="24"/>
          <w:szCs w:val="24"/>
        </w:rPr>
        <w:t>Redoks reakcija je reakcija, pri kateri potekata hkrati redukcija in oksidacija. Pri oksidaciji se oksidacijsko število elementa zveča. Pri redukciji se oksidacijsko število elementa zmanjša. Reducent je snov, ki se sam oksidira - odda elektrone in s tem drugega reducira. Oksidant je snov, ki se reducira - sprejme elektrone in s tem drugega oksidira. Standardni elektrodni potencial je napetost elektrokemijske celice, izmerjena glede na vodikovo elektrodo. Redoks vrsta kovin je zaporedje redoks parov kovinskih ionov in elementarnih kovin glede na standardni elektrodni potencial. Kovine ki imajo E°&gt;0 so močnejši oksidanti, kovine ki imajo E°&lt;0 so močnejši reducenti.</w:t>
      </w:r>
    </w:p>
    <w:p w:rsidR="00CB5B30" w:rsidRPr="009A722B" w:rsidRDefault="00CB5B30" w:rsidP="009A722B"/>
    <w:sectPr w:rsidR="00CB5B30" w:rsidRPr="009A722B" w:rsidSect="009A722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4158D3"/>
    <w:multiLevelType w:val="hybridMultilevel"/>
    <w:tmpl w:val="A8402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A67E8"/>
    <w:multiLevelType w:val="hybridMultilevel"/>
    <w:tmpl w:val="E2928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11372D"/>
    <w:multiLevelType w:val="hybridMultilevel"/>
    <w:tmpl w:val="09C8B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6B5D"/>
    <w:multiLevelType w:val="hybridMultilevel"/>
    <w:tmpl w:val="81725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A65C69"/>
    <w:multiLevelType w:val="hybridMultilevel"/>
    <w:tmpl w:val="F6ACE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2D76EF"/>
    <w:multiLevelType w:val="hybridMultilevel"/>
    <w:tmpl w:val="0C988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BA5546"/>
    <w:multiLevelType w:val="hybridMultilevel"/>
    <w:tmpl w:val="A6CA11BC"/>
    <w:lvl w:ilvl="0" w:tplc="0424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66022049"/>
    <w:multiLevelType w:val="hybridMultilevel"/>
    <w:tmpl w:val="7848C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4E52BB"/>
    <w:multiLevelType w:val="hybridMultilevel"/>
    <w:tmpl w:val="47305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FC5D13"/>
    <w:multiLevelType w:val="hybridMultilevel"/>
    <w:tmpl w:val="C0667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8"/>
  </w:num>
  <w:num w:numId="6">
    <w:abstractNumId w:val="3"/>
  </w:num>
  <w:num w:numId="7">
    <w:abstractNumId w:val="2"/>
  </w:num>
  <w:num w:numId="8">
    <w:abstractNumId w:val="6"/>
  </w:num>
  <w:num w:numId="9">
    <w:abstractNumId w:val="11"/>
  </w:num>
  <w:num w:numId="10">
    <w:abstractNumId w:val="1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0945FC"/>
    <w:rsid w:val="00270737"/>
    <w:rsid w:val="00273596"/>
    <w:rsid w:val="00442993"/>
    <w:rsid w:val="005E07E7"/>
    <w:rsid w:val="00763BE0"/>
    <w:rsid w:val="009A722B"/>
    <w:rsid w:val="00A52446"/>
    <w:rsid w:val="00AB7107"/>
    <w:rsid w:val="00CB5B30"/>
    <w:rsid w:val="00CC420E"/>
    <w:rsid w:val="00D46F77"/>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