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5EF0" w:rsidRPr="00CD7AD2" w:rsidRDefault="00F85C24" w:rsidP="001F36F8">
      <w:pPr>
        <w:pStyle w:val="Prvinaslov"/>
      </w:pPr>
      <w:bookmarkStart w:id="0" w:name="_GoBack"/>
      <w:bookmarkEnd w:id="0"/>
      <w:r>
        <w:t>TRANSPORTNE PRIPRAVE - KONTEJNERJI</w:t>
      </w:r>
    </w:p>
    <w:p w:rsidR="002009C4" w:rsidRPr="00CD7AD2" w:rsidRDefault="002009C4" w:rsidP="006B1D28">
      <w:pPr>
        <w:rPr>
          <w:lang w:val="sl-SI"/>
        </w:rPr>
      </w:pPr>
    </w:p>
    <w:p w:rsidR="004A2A46" w:rsidRPr="00CD7AD2" w:rsidRDefault="00536CB0" w:rsidP="00CD7AD2">
      <w:pPr>
        <w:autoSpaceDE w:val="0"/>
        <w:autoSpaceDN w:val="0"/>
        <w:adjustRightInd w:val="0"/>
        <w:spacing w:after="0" w:line="240" w:lineRule="auto"/>
        <w:contextualSpacing/>
        <w:rPr>
          <w:rFonts w:cs="MetroflexUniMedium"/>
          <w:color w:val="000000"/>
          <w:lang w:val="sl-SI"/>
        </w:rPr>
      </w:pPr>
      <w:r>
        <w:rPr>
          <w:noProof/>
          <w:lang w:val="sl-SI" w:eastAsia="sl-SI"/>
        </w:rPr>
        <mc:AlternateContent>
          <mc:Choice Requires="wps">
            <w:drawing>
              <wp:anchor distT="0" distB="0" distL="114300" distR="114300" simplePos="0" relativeHeight="251664384" behindDoc="0" locked="0" layoutInCell="1" allowOverlap="1" wp14:anchorId="3F4891AB" wp14:editId="5E091966">
                <wp:simplePos x="0" y="0"/>
                <wp:positionH relativeFrom="column">
                  <wp:posOffset>3297555</wp:posOffset>
                </wp:positionH>
                <wp:positionV relativeFrom="paragraph">
                  <wp:posOffset>3219450</wp:posOffset>
                </wp:positionV>
                <wp:extent cx="2428240" cy="635"/>
                <wp:effectExtent l="0" t="0" r="0" b="0"/>
                <wp:wrapThrough wrapText="bothSides">
                  <wp:wrapPolygon edited="0">
                    <wp:start x="0" y="0"/>
                    <wp:lineTo x="0" y="21600"/>
                    <wp:lineTo x="21600" y="21600"/>
                    <wp:lineTo x="21600" y="0"/>
                  </wp:wrapPolygon>
                </wp:wrapThrough>
                <wp:docPr id="11" name="Polje z besedilom 11"/>
                <wp:cNvGraphicFramePr/>
                <a:graphic xmlns:a="http://schemas.openxmlformats.org/drawingml/2006/main">
                  <a:graphicData uri="http://schemas.microsoft.com/office/word/2010/wordprocessingShape">
                    <wps:wsp>
                      <wps:cNvSpPr txBox="1"/>
                      <wps:spPr>
                        <a:xfrm>
                          <a:off x="0" y="0"/>
                          <a:ext cx="2428240" cy="635"/>
                        </a:xfrm>
                        <a:prstGeom prst="rect">
                          <a:avLst/>
                        </a:prstGeom>
                        <a:solidFill>
                          <a:prstClr val="white"/>
                        </a:solidFill>
                        <a:ln>
                          <a:noFill/>
                        </a:ln>
                        <a:effectLst/>
                      </wps:spPr>
                      <wps:txbx>
                        <w:txbxContent>
                          <w:p w:rsidR="00536CB0" w:rsidRPr="00387898" w:rsidRDefault="00536CB0" w:rsidP="00536CB0">
                            <w:pPr>
                              <w:pStyle w:val="Caption"/>
                              <w:rPr>
                                <w:rFonts w:cs="MetroflexUniMedium"/>
                                <w:color w:val="000000"/>
                              </w:rPr>
                            </w:pPr>
                            <w:bookmarkStart w:id="1" w:name="_Toc451376170"/>
                            <w:r>
                              <w:t xml:space="preserve">Slika </w:t>
                            </w:r>
                            <w:r>
                              <w:fldChar w:fldCharType="begin"/>
                            </w:r>
                            <w:r>
                              <w:instrText xml:space="preserve"> SEQ Slika \* ARABIC </w:instrText>
                            </w:r>
                            <w:r>
                              <w:fldChar w:fldCharType="separate"/>
                            </w:r>
                            <w:r w:rsidR="00FD580B">
                              <w:rPr>
                                <w:noProof/>
                              </w:rPr>
                              <w:t>1</w:t>
                            </w:r>
                            <w:r>
                              <w:fldChar w:fldCharType="end"/>
                            </w:r>
                            <w:r>
                              <w:t xml:space="preserve">:  Oče kontejnerja </w:t>
                            </w:r>
                            <w:r w:rsidRPr="00ED7C65">
                              <w:t>Malcom P. McLean</w:t>
                            </w:r>
                            <w:bookmarkEnd w:id="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Polje z besedilom 11" o:spid="_x0000_s1026" type="#_x0000_t202" style="position:absolute;margin-left:259.65pt;margin-top:253.5pt;width:191.2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" stroked="f">
                <v:textbox style="mso-fit-shape-to-text:t" inset="0,0,0,0">
                  <w:txbxContent>
                    <w:p w:rsidR="00536CB0" w:rsidRPr="00387898" w:rsidRDefault="00536CB0" w:rsidP="00536CB0">
                      <w:pPr>
                        <w:pStyle w:val="Napis"/>
                        <w:rPr>
                          <w:rFonts w:cs="MetroflexUniMedium"/>
                          <w:color w:val="000000"/>
                        </w:rPr>
                      </w:pPr>
                      <w:bookmarkStart w:id="2" w:name="_Toc451376170"/>
                      <w:proofErr w:type="spellStart"/>
                      <w:r>
                        <w:t>Slika</w:t>
                      </w:r>
                      <w:proofErr w:type="spellEnd"/>
                      <w:r>
                        <w:t xml:space="preserve"> </w:t>
                      </w:r>
                      <w:r>
                        <w:fldChar w:fldCharType="begin"/>
                      </w:r>
                      <w:r>
                        <w:instrText xml:space="preserve"> SEQ Slika \* ARABIC </w:instrText>
                      </w:r>
                      <w:r>
                        <w:fldChar w:fldCharType="separate"/>
                      </w:r>
                      <w:r w:rsidR="00FD580B">
                        <w:rPr>
                          <w:noProof/>
                        </w:rPr>
                        <w:t>1</w:t>
                      </w:r>
                      <w:r>
                        <w:fldChar w:fldCharType="end"/>
                      </w:r>
                      <w:r>
                        <w:t xml:space="preserve">:  </w:t>
                      </w:r>
                      <w:proofErr w:type="spellStart"/>
                      <w:r>
                        <w:t>Oče</w:t>
                      </w:r>
                      <w:proofErr w:type="spellEnd"/>
                      <w:r>
                        <w:t xml:space="preserve"> </w:t>
                      </w:r>
                      <w:proofErr w:type="spellStart"/>
                      <w:r>
                        <w:t>kontejnerja</w:t>
                      </w:r>
                      <w:proofErr w:type="spellEnd"/>
                      <w:r>
                        <w:t xml:space="preserve"> </w:t>
                      </w:r>
                      <w:r w:rsidRPr="00ED7C65">
                        <w:t>Malcom P. McLean</w:t>
                      </w:r>
                      <w:bookmarkEnd w:id="2"/>
                    </w:p>
                  </w:txbxContent>
                </v:textbox>
                <w10:wrap type="through"/>
              </v:shape>
            </w:pict>
          </mc:Fallback>
        </mc:AlternateContent>
      </w:r>
      <w:r w:rsidR="00CD7AD2" w:rsidRPr="00CD7AD2">
        <w:rPr>
          <w:rFonts w:cs="MetroflexUniMedium"/>
          <w:noProof/>
          <w:color w:val="000000"/>
          <w:lang w:val="sl-SI" w:eastAsia="sl-SI"/>
        </w:rPr>
        <w:drawing>
          <wp:anchor distT="0" distB="0" distL="114300" distR="114300" simplePos="0" relativeHeight="251658240" behindDoc="1" locked="0" layoutInCell="1" allowOverlap="1" wp14:anchorId="0116362A" wp14:editId="4C28AAD2">
            <wp:simplePos x="0" y="0"/>
            <wp:positionH relativeFrom="column">
              <wp:posOffset>3297555</wp:posOffset>
            </wp:positionH>
            <wp:positionV relativeFrom="paragraph">
              <wp:posOffset>887730</wp:posOffset>
            </wp:positionV>
            <wp:extent cx="2428240" cy="2274570"/>
            <wp:effectExtent l="190500" t="190500" r="181610" b="182880"/>
            <wp:wrapThrough wrapText="bothSides">
              <wp:wrapPolygon edited="0">
                <wp:start x="0" y="-1809"/>
                <wp:lineTo x="-1695" y="-1447"/>
                <wp:lineTo x="-1695" y="20985"/>
                <wp:lineTo x="-1356" y="21889"/>
                <wp:lineTo x="-169" y="22794"/>
                <wp:lineTo x="0" y="23156"/>
                <wp:lineTo x="21351" y="23156"/>
                <wp:lineTo x="21521" y="22794"/>
                <wp:lineTo x="22707" y="21889"/>
                <wp:lineTo x="23046" y="18814"/>
                <wp:lineTo x="23046" y="1447"/>
                <wp:lineTo x="21521" y="-1266"/>
                <wp:lineTo x="21351" y="-1809"/>
                <wp:lineTo x="0" y="-1809"/>
              </wp:wrapPolygon>
            </wp:wrapThrough>
            <wp:docPr id="135176" name="Picture 8" descr="PPTMalco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76" name="Picture 8" descr="PPTMalcol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8240" cy="227457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4A2A46" w:rsidRPr="00CD7AD2">
        <w:rPr>
          <w:rFonts w:cs="MetroflexUniMedium"/>
          <w:color w:val="000000"/>
          <w:lang w:val="sl-SI"/>
        </w:rPr>
        <w:t>Zabojniki</w:t>
      </w:r>
      <w:r>
        <w:rPr>
          <w:rFonts w:cs="MetroflexUniMedium"/>
          <w:color w:val="000000"/>
          <w:lang w:val="sl-SI"/>
        </w:rPr>
        <w:t xml:space="preserve"> oz. kontejnerji</w:t>
      </w:r>
      <w:r w:rsidR="004A2A46" w:rsidRPr="00CD7AD2">
        <w:rPr>
          <w:rFonts w:cs="MetroflexUniMedium"/>
          <w:color w:val="000000"/>
          <w:lang w:val="sl-SI"/>
        </w:rPr>
        <w:t xml:space="preserve"> za prevoz blaga </w:t>
      </w:r>
      <w:r w:rsidR="00482322">
        <w:rPr>
          <w:rFonts w:cs="MetroflexUniMedium"/>
          <w:color w:val="000000"/>
          <w:lang w:val="sl-SI"/>
        </w:rPr>
        <w:t xml:space="preserve">po morju </w:t>
      </w:r>
      <w:r w:rsidR="004A2A46" w:rsidRPr="00CD7AD2">
        <w:rPr>
          <w:rFonts w:cs="MetroflexUniMedium"/>
          <w:color w:val="000000"/>
          <w:lang w:val="sl-SI"/>
        </w:rPr>
        <w:t xml:space="preserve">so se začeli razvijati leta 1956. Za očeta transportnega zabojnika velja Američan Malcom P. McLean, čeprav so bili zabojniki znani tudi prej. Razvoj </w:t>
      </w:r>
      <w:r>
        <w:rPr>
          <w:rFonts w:cs="MetroflexUniMedium"/>
          <w:color w:val="000000"/>
          <w:lang w:val="sl-SI"/>
        </w:rPr>
        <w:t>le-teh</w:t>
      </w:r>
      <w:r w:rsidR="004A2A46" w:rsidRPr="00CD7AD2">
        <w:rPr>
          <w:rFonts w:cs="MetroflexUniMedium"/>
          <w:color w:val="000000"/>
          <w:lang w:val="sl-SI"/>
        </w:rPr>
        <w:t xml:space="preserve"> je dobil večji zagon v 60. letih. Pred obdobjem kontejnerizacije se je tovor prevažal v kartonih na paletah, kateri so bili naloženi ede</w:t>
      </w:r>
      <w:r w:rsidR="006A7A2B" w:rsidRPr="00CD7AD2">
        <w:rPr>
          <w:rFonts w:cs="MetroflexUniMedium"/>
          <w:color w:val="000000"/>
          <w:lang w:val="sl-SI"/>
        </w:rPr>
        <w:t xml:space="preserve">n po eden na ladje za generalni tovor. Ta vrsta tovora obstaja še danes, vendar ga je vedno manj. Izum kontejnerja je danes močno vplival na pomorsko industrijo ter svetovno blagovno menjavo. </w:t>
      </w:r>
      <w:r>
        <w:rPr>
          <w:rFonts w:cs="MetroflexUniMedium"/>
          <w:color w:val="000000"/>
          <w:lang w:val="sl-SI"/>
        </w:rPr>
        <w:t>V današnjih časih</w:t>
      </w:r>
      <w:r w:rsidR="006A7A2B" w:rsidRPr="00CD7AD2">
        <w:rPr>
          <w:rFonts w:cs="MetroflexUniMedium"/>
          <w:color w:val="000000"/>
          <w:lang w:val="sl-SI"/>
        </w:rPr>
        <w:t xml:space="preserve"> je prav prevoz blaga v kontejnerju glavna izbira pošiljateljev</w:t>
      </w:r>
      <w:r w:rsidR="00FD2ED2">
        <w:rPr>
          <w:rFonts w:cs="MetroflexUniMedium"/>
          <w:color w:val="000000"/>
          <w:lang w:val="sl-SI"/>
        </w:rPr>
        <w:t xml:space="preserve"> in prejemnikov blaga</w:t>
      </w:r>
      <w:r w:rsidR="006A7A2B" w:rsidRPr="00CD7AD2">
        <w:rPr>
          <w:rFonts w:cs="MetroflexUniMedium"/>
          <w:color w:val="000000"/>
          <w:lang w:val="sl-SI"/>
        </w:rPr>
        <w:t xml:space="preserve">. </w:t>
      </w:r>
    </w:p>
    <w:p w:rsidR="004A2A46" w:rsidRDefault="004A2A46" w:rsidP="00CD7AD2">
      <w:pPr>
        <w:autoSpaceDE w:val="0"/>
        <w:autoSpaceDN w:val="0"/>
        <w:adjustRightInd w:val="0"/>
        <w:spacing w:after="0" w:line="240" w:lineRule="auto"/>
        <w:contextualSpacing/>
        <w:rPr>
          <w:rFonts w:cs="MetroflexUniMedium"/>
          <w:color w:val="000000"/>
          <w:lang w:val="sl-SI"/>
        </w:rPr>
      </w:pPr>
    </w:p>
    <w:p w:rsidR="00536CB0" w:rsidRDefault="00536CB0" w:rsidP="00CD7AD2">
      <w:pPr>
        <w:autoSpaceDE w:val="0"/>
        <w:autoSpaceDN w:val="0"/>
        <w:adjustRightInd w:val="0"/>
        <w:spacing w:after="0" w:line="240" w:lineRule="auto"/>
        <w:contextualSpacing/>
        <w:rPr>
          <w:lang w:val="sl-SI"/>
        </w:rPr>
      </w:pPr>
      <w:r w:rsidRPr="00CD7AD2">
        <w:rPr>
          <w:rFonts w:cs="MetroflexUniMedium"/>
          <w:color w:val="000000"/>
          <w:lang w:val="sl-SI"/>
        </w:rPr>
        <w:t xml:space="preserve">Tudi začetki prevoza z zabojniki na območju Slovenije segajo v 60. leta prejšnjega stoletja. Takrat maloštevilne zabojnike so prevažali s tovornjaki in vagoni ter z ladjami prek Luke Koper. </w:t>
      </w:r>
      <w:r w:rsidRPr="00CD7AD2">
        <w:rPr>
          <w:lang w:val="sl-SI"/>
        </w:rPr>
        <w:t>Prvi prevozi z zabojniki so bili na</w:t>
      </w:r>
      <w:r>
        <w:rPr>
          <w:lang w:val="sl-SI"/>
        </w:rPr>
        <w:t xml:space="preserve"> </w:t>
      </w:r>
      <w:r w:rsidRPr="00CD7AD2">
        <w:rPr>
          <w:lang w:val="sl-SI"/>
        </w:rPr>
        <w:t>ozemlju Slovenije opravljeni v letu 1969</w:t>
      </w:r>
      <w:r>
        <w:rPr>
          <w:lang w:val="sl-SI"/>
        </w:rPr>
        <w:t>.</w:t>
      </w:r>
      <w:r w:rsidRPr="00CD7AD2">
        <w:rPr>
          <w:lang w:val="sl-SI"/>
        </w:rPr>
        <w:t xml:space="preserve"> Med pionirje kontejnerskega prevoza v Sloveniji sodijo Luka Koper in Slovenske železnice ter Slovenija sadje, Gorenje, Fersped in družba BTC Javna skladišča. V prvih zabojnikih je bilo naloženo sadje.</w:t>
      </w:r>
    </w:p>
    <w:p w:rsidR="00536CB0" w:rsidRDefault="00536CB0" w:rsidP="00CD7AD2">
      <w:pPr>
        <w:autoSpaceDE w:val="0"/>
        <w:autoSpaceDN w:val="0"/>
        <w:adjustRightInd w:val="0"/>
        <w:spacing w:after="0" w:line="240" w:lineRule="auto"/>
        <w:contextualSpacing/>
        <w:rPr>
          <w:rFonts w:cs="MetroflexUniMedium"/>
          <w:color w:val="000000"/>
          <w:lang w:val="sl-SI"/>
        </w:rPr>
      </w:pPr>
    </w:p>
    <w:p w:rsidR="006D02D3" w:rsidRPr="006D02D3" w:rsidRDefault="006D02D3" w:rsidP="006D02D3">
      <w:pPr>
        <w:autoSpaceDE w:val="0"/>
        <w:autoSpaceDN w:val="0"/>
        <w:adjustRightInd w:val="0"/>
        <w:spacing w:after="0" w:line="240" w:lineRule="auto"/>
        <w:contextualSpacing/>
        <w:rPr>
          <w:rFonts w:cs="MetroflexUniMedium"/>
          <w:color w:val="000000"/>
          <w:lang w:val="sl-SI"/>
        </w:rPr>
      </w:pPr>
      <w:r w:rsidRPr="006D02D3">
        <w:rPr>
          <w:rFonts w:cs="MetroflexUniMedium"/>
          <w:color w:val="000000"/>
          <w:lang w:val="sl-SI"/>
        </w:rPr>
        <w:t>Glavno prevozno sredstvo kontejnerjev so kontejnerske ladje. Za vtovor in iztovor z ladje ter rokovanje kontejnerjev na terminalu se večinoma uporablja oprema terminala, ki zajema različna sredstva, od dvigal pa do viličarjev.</w:t>
      </w:r>
    </w:p>
    <w:p w:rsidR="00004F9F" w:rsidRPr="00CD7AD2" w:rsidRDefault="00536CB0" w:rsidP="006B035C">
      <w:pPr>
        <w:autoSpaceDE w:val="0"/>
        <w:autoSpaceDN w:val="0"/>
        <w:adjustRightInd w:val="0"/>
        <w:spacing w:after="0" w:line="240" w:lineRule="auto"/>
        <w:contextualSpacing/>
        <w:rPr>
          <w:lang w:val="sl-SI"/>
        </w:rPr>
      </w:pPr>
      <w:r>
        <w:rPr>
          <w:noProof/>
          <w:lang w:val="sl-SI" w:eastAsia="sl-SI"/>
        </w:rPr>
        <mc:AlternateContent>
          <mc:Choice Requires="wps">
            <w:drawing>
              <wp:anchor distT="0" distB="0" distL="114300" distR="114300" simplePos="0" relativeHeight="251666432" behindDoc="0" locked="0" layoutInCell="1" allowOverlap="1" wp14:anchorId="29C715C4" wp14:editId="559AD1F3">
                <wp:simplePos x="0" y="0"/>
                <wp:positionH relativeFrom="column">
                  <wp:posOffset>2588260</wp:posOffset>
                </wp:positionH>
                <wp:positionV relativeFrom="paragraph">
                  <wp:posOffset>3002280</wp:posOffset>
                </wp:positionV>
                <wp:extent cx="3194050" cy="635"/>
                <wp:effectExtent l="0" t="0" r="0" b="0"/>
                <wp:wrapThrough wrapText="bothSides">
                  <wp:wrapPolygon edited="0">
                    <wp:start x="0" y="0"/>
                    <wp:lineTo x="0" y="21600"/>
                    <wp:lineTo x="21600" y="21600"/>
                    <wp:lineTo x="21600" y="0"/>
                  </wp:wrapPolygon>
                </wp:wrapThrough>
                <wp:docPr id="13" name="Polje z besedilom 13"/>
                <wp:cNvGraphicFramePr/>
                <a:graphic xmlns:a="http://schemas.openxmlformats.org/drawingml/2006/main">
                  <a:graphicData uri="http://schemas.microsoft.com/office/word/2010/wordprocessingShape">
                    <wps:wsp>
                      <wps:cNvSpPr txBox="1"/>
                      <wps:spPr>
                        <a:xfrm>
                          <a:off x="0" y="0"/>
                          <a:ext cx="3194050" cy="635"/>
                        </a:xfrm>
                        <a:prstGeom prst="rect">
                          <a:avLst/>
                        </a:prstGeom>
                        <a:solidFill>
                          <a:prstClr val="white"/>
                        </a:solidFill>
                        <a:ln>
                          <a:noFill/>
                        </a:ln>
                        <a:effectLst/>
                      </wps:spPr>
                      <wps:txbx>
                        <w:txbxContent>
                          <w:p w:rsidR="00536CB0" w:rsidRPr="00E756E0" w:rsidRDefault="00536CB0" w:rsidP="00536CB0">
                            <w:pPr>
                              <w:pStyle w:val="Caption"/>
                              <w:rPr>
                                <w:rFonts w:cs="MetroflexUniMedium"/>
                                <w:color w:val="000000"/>
                              </w:rPr>
                            </w:pPr>
                            <w:bookmarkStart w:id="2" w:name="_Toc451376171"/>
                            <w:r>
                              <w:t xml:space="preserve">Slika </w:t>
                            </w:r>
                            <w:r>
                              <w:fldChar w:fldCharType="begin"/>
                            </w:r>
                            <w:r>
                              <w:instrText xml:space="preserve"> SEQ Slika \* ARABIC </w:instrText>
                            </w:r>
                            <w:r>
                              <w:fldChar w:fldCharType="separate"/>
                            </w:r>
                            <w:r w:rsidR="00FD580B">
                              <w:rPr>
                                <w:noProof/>
                              </w:rPr>
                              <w:t>2</w:t>
                            </w:r>
                            <w:r>
                              <w:fldChar w:fldCharType="end"/>
                            </w:r>
                            <w:r>
                              <w:t>: 26.Aprila 1956 je iz New Yorka izplula prva kontejnerska ladja na svetu, Ideal X</w:t>
                            </w:r>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Polje z besedilom 13" o:spid="_x0000_s1027" type="#_x0000_t202" style="position:absolute;margin-left:203.8pt;margin-top:236.4pt;width:251.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" stroked="f">
                <v:textbox style="mso-fit-shape-to-text:t" inset="0,0,0,0">
                  <w:txbxContent>
                    <w:p w:rsidR="00536CB0" w:rsidRPr="00E756E0" w:rsidRDefault="00536CB0" w:rsidP="00536CB0">
                      <w:pPr>
                        <w:pStyle w:val="Napis"/>
                        <w:rPr>
                          <w:rFonts w:cs="MetroflexUniMedium"/>
                          <w:color w:val="000000"/>
                        </w:rPr>
                      </w:pPr>
                      <w:bookmarkStart w:id="4" w:name="_Toc451376171"/>
                      <w:proofErr w:type="spellStart"/>
                      <w:r>
                        <w:t>Slika</w:t>
                      </w:r>
                      <w:proofErr w:type="spellEnd"/>
                      <w:r>
                        <w:t xml:space="preserve"> </w:t>
                      </w:r>
                      <w:r>
                        <w:fldChar w:fldCharType="begin"/>
                      </w:r>
                      <w:r>
                        <w:instrText xml:space="preserve"> SEQ Slika \* ARABIC </w:instrText>
                      </w:r>
                      <w:r>
                        <w:fldChar w:fldCharType="separate"/>
                      </w:r>
                      <w:r w:rsidR="00FD580B">
                        <w:rPr>
                          <w:noProof/>
                        </w:rPr>
                        <w:t>2</w:t>
                      </w:r>
                      <w:r>
                        <w:fldChar w:fldCharType="end"/>
                      </w:r>
                      <w:r>
                        <w:t xml:space="preserve">: 26.Aprila 1956 je </w:t>
                      </w:r>
                      <w:proofErr w:type="spellStart"/>
                      <w:r>
                        <w:t>iz</w:t>
                      </w:r>
                      <w:proofErr w:type="spellEnd"/>
                      <w:r>
                        <w:t xml:space="preserve"> New </w:t>
                      </w:r>
                      <w:proofErr w:type="spellStart"/>
                      <w:r>
                        <w:t>Yorka</w:t>
                      </w:r>
                      <w:proofErr w:type="spellEnd"/>
                      <w:r>
                        <w:t xml:space="preserve"> </w:t>
                      </w:r>
                      <w:proofErr w:type="spellStart"/>
                      <w:r>
                        <w:t>izplula</w:t>
                      </w:r>
                      <w:proofErr w:type="spellEnd"/>
                      <w:r>
                        <w:t xml:space="preserve"> </w:t>
                      </w:r>
                      <w:proofErr w:type="spellStart"/>
                      <w:r>
                        <w:t>prva</w:t>
                      </w:r>
                      <w:proofErr w:type="spellEnd"/>
                      <w:r>
                        <w:t xml:space="preserve"> </w:t>
                      </w:r>
                      <w:proofErr w:type="spellStart"/>
                      <w:r>
                        <w:t>kontejnerska</w:t>
                      </w:r>
                      <w:proofErr w:type="spellEnd"/>
                      <w:r>
                        <w:t xml:space="preserve"> </w:t>
                      </w:r>
                      <w:proofErr w:type="spellStart"/>
                      <w:r>
                        <w:t>ladja</w:t>
                      </w:r>
                      <w:proofErr w:type="spellEnd"/>
                      <w:r>
                        <w:t xml:space="preserve"> </w:t>
                      </w:r>
                      <w:proofErr w:type="spellStart"/>
                      <w:proofErr w:type="gramStart"/>
                      <w:r>
                        <w:t>na</w:t>
                      </w:r>
                      <w:proofErr w:type="spellEnd"/>
                      <w:proofErr w:type="gramEnd"/>
                      <w:r>
                        <w:t xml:space="preserve"> </w:t>
                      </w:r>
                      <w:proofErr w:type="spellStart"/>
                      <w:r>
                        <w:t>svetu</w:t>
                      </w:r>
                      <w:proofErr w:type="spellEnd"/>
                      <w:r>
                        <w:t>, Ideal X</w:t>
                      </w:r>
                      <w:bookmarkEnd w:id="4"/>
                    </w:p>
                  </w:txbxContent>
                </v:textbox>
                <w10:wrap type="through"/>
              </v:shape>
            </w:pict>
          </mc:Fallback>
        </mc:AlternateContent>
      </w:r>
      <w:r w:rsidR="00004F9F" w:rsidRPr="00CD7AD2">
        <w:rPr>
          <w:rFonts w:cs="MetroflexUniMedium"/>
          <w:noProof/>
          <w:color w:val="000000"/>
          <w:lang w:val="sl-SI" w:eastAsia="sl-SI"/>
        </w:rPr>
        <w:drawing>
          <wp:anchor distT="0" distB="0" distL="114300" distR="114300" simplePos="0" relativeHeight="251659264" behindDoc="1" locked="0" layoutInCell="1" allowOverlap="1" wp14:anchorId="2F7537A3" wp14:editId="3EE43252">
            <wp:simplePos x="0" y="0"/>
            <wp:positionH relativeFrom="column">
              <wp:posOffset>2588260</wp:posOffset>
            </wp:positionH>
            <wp:positionV relativeFrom="paragraph">
              <wp:posOffset>1111885</wp:posOffset>
            </wp:positionV>
            <wp:extent cx="3194050" cy="1833245"/>
            <wp:effectExtent l="190500" t="190500" r="196850" b="186055"/>
            <wp:wrapThrough wrapText="bothSides">
              <wp:wrapPolygon edited="0">
                <wp:start x="0" y="-2245"/>
                <wp:lineTo x="-1288" y="-1796"/>
                <wp:lineTo x="-1288" y="20874"/>
                <wp:lineTo x="0" y="23568"/>
                <wp:lineTo x="21514" y="23568"/>
                <wp:lineTo x="21643" y="23119"/>
                <wp:lineTo x="22802" y="19976"/>
                <wp:lineTo x="22802" y="1796"/>
                <wp:lineTo x="21643" y="-1571"/>
                <wp:lineTo x="21514" y="-2245"/>
                <wp:lineTo x="0" y="-2245"/>
              </wp:wrapPolygon>
            </wp:wrapThrough>
            <wp:docPr id="173061" name="Picture 5" descr="JV Ideal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61" name="Picture 5" descr="JV Ideal 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4050" cy="183324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1A2F4C" w:rsidRPr="00CD7AD2">
        <w:rPr>
          <w:lang w:val="sl-SI"/>
        </w:rPr>
        <w:t>Kont</w:t>
      </w:r>
      <w:r>
        <w:rPr>
          <w:lang w:val="sl-SI"/>
        </w:rPr>
        <w:t>ejnerski prevoz blaga ima velike</w:t>
      </w:r>
      <w:r w:rsidR="001A2F4C" w:rsidRPr="00CD7AD2">
        <w:rPr>
          <w:lang w:val="sl-SI"/>
        </w:rPr>
        <w:t xml:space="preserve"> prednosti pri pošiljanju blaga</w:t>
      </w:r>
      <w:r>
        <w:rPr>
          <w:lang w:val="sl-SI"/>
        </w:rPr>
        <w:t xml:space="preserve"> v primerjavi z drugimi vrstami transporta</w:t>
      </w:r>
      <w:r w:rsidR="001A2F4C" w:rsidRPr="00CD7AD2">
        <w:rPr>
          <w:lang w:val="sl-SI"/>
        </w:rPr>
        <w:t xml:space="preserve">. Pošiljatelj </w:t>
      </w:r>
      <w:r>
        <w:rPr>
          <w:lang w:val="sl-SI"/>
        </w:rPr>
        <w:t>lahko svoj tovor fizično zapre s</w:t>
      </w:r>
      <w:r w:rsidR="001A2F4C" w:rsidRPr="00CD7AD2">
        <w:rPr>
          <w:lang w:val="sl-SI"/>
        </w:rPr>
        <w:t xml:space="preserve"> plombo</w:t>
      </w:r>
      <w:r>
        <w:rPr>
          <w:lang w:val="sl-SI"/>
        </w:rPr>
        <w:t>,</w:t>
      </w:r>
      <w:r w:rsidR="001A2F4C" w:rsidRPr="00CD7AD2">
        <w:rPr>
          <w:lang w:val="sl-SI"/>
        </w:rPr>
        <w:t xml:space="preserve"> ter tako onemogoči kraje ter poškodbe. Kontejner se la</w:t>
      </w:r>
      <w:r w:rsidR="00004F9F">
        <w:rPr>
          <w:lang w:val="sl-SI"/>
        </w:rPr>
        <w:t>hko naloži na ladjo, vlak, tovor</w:t>
      </w:r>
      <w:r w:rsidR="001A2F4C" w:rsidRPr="00CD7AD2">
        <w:rPr>
          <w:lang w:val="sl-SI"/>
        </w:rPr>
        <w:t>njak ali kater</w:t>
      </w:r>
      <w:r w:rsidR="00004F9F">
        <w:rPr>
          <w:lang w:val="sl-SI"/>
        </w:rPr>
        <w:t>o</w:t>
      </w:r>
      <w:r w:rsidR="001A2F4C" w:rsidRPr="00CD7AD2">
        <w:rPr>
          <w:lang w:val="sl-SI"/>
        </w:rPr>
        <w:t>koli drugo prevozno sredstvo</w:t>
      </w:r>
      <w:r>
        <w:rPr>
          <w:lang w:val="sl-SI"/>
        </w:rPr>
        <w:t>,</w:t>
      </w:r>
      <w:r w:rsidR="001A2F4C" w:rsidRPr="00CD7AD2">
        <w:rPr>
          <w:lang w:val="sl-SI"/>
        </w:rPr>
        <w:t xml:space="preserve"> ne da bi se pri tem</w:t>
      </w:r>
      <w:r>
        <w:rPr>
          <w:lang w:val="sl-SI"/>
        </w:rPr>
        <w:t>u</w:t>
      </w:r>
      <w:r w:rsidR="001A2F4C" w:rsidRPr="00CD7AD2">
        <w:rPr>
          <w:lang w:val="sl-SI"/>
        </w:rPr>
        <w:t xml:space="preserve"> dotikal</w:t>
      </w:r>
      <w:r>
        <w:rPr>
          <w:lang w:val="sl-SI"/>
        </w:rPr>
        <w:t>i</w:t>
      </w:r>
      <w:r w:rsidR="001A2F4C" w:rsidRPr="00CD7AD2">
        <w:rPr>
          <w:lang w:val="sl-SI"/>
        </w:rPr>
        <w:t xml:space="preserve"> blaga – s tem </w:t>
      </w:r>
      <w:r>
        <w:rPr>
          <w:lang w:val="sl-SI"/>
        </w:rPr>
        <w:t xml:space="preserve">na </w:t>
      </w:r>
      <w:r w:rsidR="001A2F4C" w:rsidRPr="00CD7AD2">
        <w:rPr>
          <w:lang w:val="sl-SI"/>
        </w:rPr>
        <w:t xml:space="preserve">blagu tudi ohranjamo vrednost. Poleg varnostnega vidika, ima prednost takega prevoza še v manjših </w:t>
      </w:r>
      <w:r w:rsidR="00004F9F">
        <w:rPr>
          <w:lang w:val="sl-SI"/>
        </w:rPr>
        <w:t>poškodbah ter izgubah, hitrejši</w:t>
      </w:r>
      <w:r w:rsidR="001A2F4C" w:rsidRPr="00CD7AD2">
        <w:rPr>
          <w:lang w:val="sl-SI"/>
        </w:rPr>
        <w:t>h manipulacijah v lukah, kar pomeni</w:t>
      </w:r>
      <w:r>
        <w:rPr>
          <w:lang w:val="sl-SI"/>
        </w:rPr>
        <w:t>,</w:t>
      </w:r>
      <w:r w:rsidR="001A2F4C" w:rsidRPr="00CD7AD2">
        <w:rPr>
          <w:lang w:val="sl-SI"/>
        </w:rPr>
        <w:t xml:space="preserve"> da se tudi ladje man</w:t>
      </w:r>
      <w:r>
        <w:rPr>
          <w:lang w:val="sl-SI"/>
        </w:rPr>
        <w:t>j časa zadržujejo na terminalih</w:t>
      </w:r>
      <w:r w:rsidR="001A2F4C" w:rsidRPr="00CD7AD2">
        <w:rPr>
          <w:lang w:val="sl-SI"/>
        </w:rPr>
        <w:t xml:space="preserve"> in posledično ima ladjar manj stroškov. Po drugi </w:t>
      </w:r>
      <w:r w:rsidR="00004F9F" w:rsidRPr="00CD7AD2">
        <w:rPr>
          <w:lang w:val="sl-SI"/>
        </w:rPr>
        <w:t>strani</w:t>
      </w:r>
      <w:r w:rsidR="001A2F4C" w:rsidRPr="00CD7AD2">
        <w:rPr>
          <w:lang w:val="sl-SI"/>
        </w:rPr>
        <w:t xml:space="preserve"> pa taka vrsta prevoza zahteva velike začne vložke v infrastrukturo (</w:t>
      </w:r>
      <w:r>
        <w:rPr>
          <w:lang w:val="sl-SI"/>
        </w:rPr>
        <w:t xml:space="preserve">moderni </w:t>
      </w:r>
      <w:r w:rsidR="001A2F4C" w:rsidRPr="00CD7AD2">
        <w:rPr>
          <w:lang w:val="sl-SI"/>
        </w:rPr>
        <w:t xml:space="preserve">terminali, </w:t>
      </w:r>
      <w:r>
        <w:rPr>
          <w:lang w:val="sl-SI"/>
        </w:rPr>
        <w:t xml:space="preserve">velike </w:t>
      </w:r>
      <w:r w:rsidR="001A2F4C" w:rsidRPr="00CD7AD2">
        <w:rPr>
          <w:lang w:val="sl-SI"/>
        </w:rPr>
        <w:t xml:space="preserve">ladje), ki se povrnejo šele čez mnogo let. Kontejnerski transport je </w:t>
      </w:r>
      <w:r w:rsidR="00FD2ED2">
        <w:rPr>
          <w:lang w:val="sl-SI"/>
        </w:rPr>
        <w:t xml:space="preserve">relativno poceni vrsta prevoza. </w:t>
      </w:r>
      <w:r w:rsidR="001A2F4C" w:rsidRPr="00CD7AD2">
        <w:rPr>
          <w:lang w:val="sl-SI"/>
        </w:rPr>
        <w:t xml:space="preserve">Njegova glavna </w:t>
      </w:r>
      <w:r w:rsidR="00004F9F" w:rsidRPr="00CD7AD2">
        <w:rPr>
          <w:lang w:val="sl-SI"/>
        </w:rPr>
        <w:t>prednost</w:t>
      </w:r>
      <w:r w:rsidR="001A2F4C" w:rsidRPr="00CD7AD2">
        <w:rPr>
          <w:lang w:val="sl-SI"/>
        </w:rPr>
        <w:t xml:space="preserve"> je velika </w:t>
      </w:r>
      <w:r w:rsidR="00004F9F" w:rsidRPr="00CD7AD2">
        <w:rPr>
          <w:lang w:val="sl-SI"/>
        </w:rPr>
        <w:t>nosilnost</w:t>
      </w:r>
      <w:r w:rsidR="001A2F4C" w:rsidRPr="00CD7AD2">
        <w:rPr>
          <w:lang w:val="sl-SI"/>
        </w:rPr>
        <w:t xml:space="preserve"> (danes največje ladje lahko </w:t>
      </w:r>
      <w:r>
        <w:rPr>
          <w:lang w:val="sl-SI"/>
        </w:rPr>
        <w:t>prevažajo do</w:t>
      </w:r>
      <w:r w:rsidR="001A2F4C" w:rsidRPr="00CD7AD2">
        <w:rPr>
          <w:lang w:val="sl-SI"/>
        </w:rPr>
        <w:t xml:space="preserve"> 20.000 kontejnerskih enot), slabost pa relativna </w:t>
      </w:r>
      <w:r w:rsidR="00004F9F" w:rsidRPr="00CD7AD2">
        <w:rPr>
          <w:lang w:val="sl-SI"/>
        </w:rPr>
        <w:t>počasnost</w:t>
      </w:r>
      <w:r w:rsidR="001A2F4C" w:rsidRPr="00CD7AD2">
        <w:rPr>
          <w:lang w:val="sl-SI"/>
        </w:rPr>
        <w:t xml:space="preserve"> (potovanje iz Azije v Evropo traja tudi 30 dni). </w:t>
      </w:r>
      <w:r w:rsidR="00482322" w:rsidRPr="00482322">
        <w:rPr>
          <w:lang w:val="sl-SI"/>
        </w:rPr>
        <w:t xml:space="preserve">Pomembna lastnost zabojnikov je zmožnost zlaganja in </w:t>
      </w:r>
      <w:r w:rsidR="00482322" w:rsidRPr="00482322">
        <w:rPr>
          <w:lang w:val="sl-SI"/>
        </w:rPr>
        <w:lastRenderedPageBreak/>
        <w:t>pritrjevanja z nastavki na vseh vogalih</w:t>
      </w:r>
      <w:r w:rsidR="00482322">
        <w:rPr>
          <w:lang w:val="sl-SI"/>
        </w:rPr>
        <w:t>.</w:t>
      </w:r>
      <w:r w:rsidR="00482322" w:rsidRPr="00482322">
        <w:rPr>
          <w:lang w:val="sl-SI"/>
        </w:rPr>
        <w:t xml:space="preserve"> </w:t>
      </w:r>
      <w:r w:rsidR="00482322">
        <w:rPr>
          <w:lang w:val="sl-SI"/>
        </w:rPr>
        <w:t xml:space="preserve"> </w:t>
      </w:r>
      <w:r w:rsidR="001A2F4C" w:rsidRPr="00CD7AD2">
        <w:rPr>
          <w:lang w:val="sl-SI"/>
        </w:rPr>
        <w:t>L</w:t>
      </w:r>
      <w:r>
        <w:rPr>
          <w:lang w:val="sl-SI"/>
        </w:rPr>
        <w:t>etalski prevoz je v primerjavi s</w:t>
      </w:r>
      <w:r w:rsidR="001A2F4C" w:rsidRPr="00CD7AD2">
        <w:rPr>
          <w:lang w:val="sl-SI"/>
        </w:rPr>
        <w:t xml:space="preserve"> </w:t>
      </w:r>
      <w:r w:rsidR="00004F9F" w:rsidRPr="00CD7AD2">
        <w:rPr>
          <w:lang w:val="sl-SI"/>
        </w:rPr>
        <w:t>kontejnerskim</w:t>
      </w:r>
      <w:r w:rsidR="001A2F4C" w:rsidRPr="00CD7AD2">
        <w:rPr>
          <w:lang w:val="sl-SI"/>
        </w:rPr>
        <w:t xml:space="preserve"> neprimerno hitrejši, vendar zato tudi zelo dražji. Trenutna cena prevoza ene kontejnerske enote</w:t>
      </w:r>
      <w:r w:rsidR="00482322">
        <w:rPr>
          <w:lang w:val="sl-SI"/>
        </w:rPr>
        <w:t xml:space="preserve"> (TEU)</w:t>
      </w:r>
      <w:r w:rsidR="001A2F4C" w:rsidRPr="00CD7AD2">
        <w:rPr>
          <w:lang w:val="sl-SI"/>
        </w:rPr>
        <w:t xml:space="preserve"> iz Shanghaja v Koper </w:t>
      </w:r>
      <w:r w:rsidR="00004F9F" w:rsidRPr="00CD7AD2">
        <w:rPr>
          <w:lang w:val="sl-SI"/>
        </w:rPr>
        <w:t>znaša</w:t>
      </w:r>
      <w:r w:rsidR="00752095">
        <w:rPr>
          <w:lang w:val="sl-SI"/>
        </w:rPr>
        <w:t xml:space="preserve"> približno 15</w:t>
      </w:r>
      <w:r w:rsidR="001A2F4C" w:rsidRPr="00CD7AD2">
        <w:rPr>
          <w:lang w:val="sl-SI"/>
        </w:rPr>
        <w:t>00 EUR.</w:t>
      </w:r>
    </w:p>
    <w:p w:rsidR="000F1523" w:rsidRPr="00CD7AD2" w:rsidRDefault="001C5BEA" w:rsidP="001C5BEA">
      <w:pPr>
        <w:pStyle w:val="Druginaslov"/>
      </w:pPr>
      <w:bookmarkStart w:id="3" w:name="_Toc451370230"/>
      <w:r w:rsidRPr="00CD7AD2">
        <w:t>VRSTE KONTEJNERJEV</w:t>
      </w:r>
      <w:bookmarkEnd w:id="3"/>
    </w:p>
    <w:p w:rsidR="00C35D76" w:rsidRPr="00CD7AD2" w:rsidRDefault="00C35D76" w:rsidP="00944635">
      <w:pPr>
        <w:spacing w:line="240" w:lineRule="auto"/>
        <w:rPr>
          <w:lang w:val="sl-SI"/>
        </w:rPr>
      </w:pPr>
      <w:r w:rsidRPr="00CD7AD2">
        <w:rPr>
          <w:lang w:val="sl-SI"/>
        </w:rPr>
        <w:t xml:space="preserve">Danes skoraj ne obstaja vrsta blaga, ki se ne prevaža v kontejnerjih, bodisi redno ali poskusno. </w:t>
      </w:r>
      <w:r w:rsidR="00F01D92" w:rsidRPr="00CD7AD2">
        <w:rPr>
          <w:lang w:val="sl-SI"/>
        </w:rPr>
        <w:t xml:space="preserve">V njih lahko najdemo blago od prehrane (mleko v prahu, žita, ribe, zelenjava, sadje), izdelkov (igrače, računalniki, obutev) pa do surovin (sol, kakavovo maslo, hlodovina, kamenje). Za vsako vrsto tovora se uporablja različen tip kontejnerja, ki je najbolje prilagojen za prevoz. Tako imamo danes na voljo </w:t>
      </w:r>
      <w:r w:rsidR="00482322">
        <w:rPr>
          <w:lang w:val="sl-SI"/>
        </w:rPr>
        <w:t>več tipov</w:t>
      </w:r>
      <w:r w:rsidR="00F01D92" w:rsidRPr="00CD7AD2">
        <w:rPr>
          <w:lang w:val="sl-SI"/>
        </w:rPr>
        <w:t xml:space="preserve"> kontejnerjev</w:t>
      </w:r>
      <w:r w:rsidR="00FD2ED2">
        <w:rPr>
          <w:lang w:val="sl-SI"/>
        </w:rPr>
        <w:t>:</w:t>
      </w:r>
    </w:p>
    <w:p w:rsidR="00F6350F" w:rsidRPr="00A06C73" w:rsidRDefault="00F01D92" w:rsidP="00944635">
      <w:pPr>
        <w:pStyle w:val="ListParagraph"/>
        <w:numPr>
          <w:ilvl w:val="0"/>
          <w:numId w:val="38"/>
        </w:numPr>
        <w:spacing w:line="240" w:lineRule="auto"/>
        <w:ind w:left="714" w:hanging="357"/>
        <w:rPr>
          <w:lang w:val="sl-SI"/>
        </w:rPr>
      </w:pPr>
      <w:r w:rsidRPr="00A06C73">
        <w:rPr>
          <w:b/>
          <w:lang w:val="sl-SI"/>
        </w:rPr>
        <w:t>Kontejner za</w:t>
      </w:r>
      <w:r w:rsidR="00F6350F" w:rsidRPr="00A06C73">
        <w:rPr>
          <w:lang w:val="sl-SI"/>
        </w:rPr>
        <w:t xml:space="preserve"> </w:t>
      </w:r>
      <w:r w:rsidR="00F6350F" w:rsidRPr="00A06C73">
        <w:rPr>
          <w:b/>
          <w:lang w:val="sl-SI"/>
        </w:rPr>
        <w:t>za suhi tovor</w:t>
      </w:r>
      <w:r w:rsidRPr="00A06C73">
        <w:rPr>
          <w:b/>
          <w:lang w:val="sl-SI"/>
        </w:rPr>
        <w:t xml:space="preserve"> oz. splošni namen</w:t>
      </w:r>
      <w:r w:rsidR="00F6350F" w:rsidRPr="00A06C73">
        <w:rPr>
          <w:lang w:val="sl-SI"/>
        </w:rPr>
        <w:t xml:space="preserve">, ki se uporablja za večino prevozov </w:t>
      </w:r>
      <w:r w:rsidRPr="00A06C73">
        <w:rPr>
          <w:lang w:val="sl-SI"/>
        </w:rPr>
        <w:t>(les, kemikalije, polizdelki, železo, itd.)</w:t>
      </w:r>
      <w:r w:rsidR="00A74537">
        <w:rPr>
          <w:lang w:val="sl-SI"/>
        </w:rPr>
        <w:t xml:space="preserve">. </w:t>
      </w:r>
      <w:r w:rsidR="00A74537" w:rsidRPr="00A74537">
        <w:rPr>
          <w:lang w:val="sl-SI"/>
        </w:rPr>
        <w:t>Je popolnoma zaprt in vremensko odporen, ima trdne stene, streho in tla ter je opremljen z najmanj enimi vrati.</w:t>
      </w:r>
    </w:p>
    <w:p w:rsidR="00F6350F" w:rsidRPr="00A06C73" w:rsidRDefault="006D02D3" w:rsidP="00944635">
      <w:pPr>
        <w:pStyle w:val="ListParagraph"/>
        <w:numPr>
          <w:ilvl w:val="0"/>
          <w:numId w:val="38"/>
        </w:numPr>
        <w:spacing w:line="240" w:lineRule="auto"/>
        <w:ind w:left="714" w:hanging="357"/>
        <w:rPr>
          <w:lang w:val="sl-SI"/>
        </w:rPr>
      </w:pPr>
      <w:r>
        <w:rPr>
          <w:b/>
          <w:lang w:val="sl-SI"/>
        </w:rPr>
        <w:t>Hlajeni kontejner</w:t>
      </w:r>
      <w:r w:rsidR="00F6350F" w:rsidRPr="00A06C73">
        <w:rPr>
          <w:lang w:val="sl-SI"/>
        </w:rPr>
        <w:t>, z možnostjo kontroliranja temperature se uporablja pri prevozu pokvarljivega blaga (meso, ribe, sadje, zelenjava, rože, posebne kemikalije)</w:t>
      </w:r>
      <w:r>
        <w:rPr>
          <w:lang w:val="sl-SI"/>
        </w:rPr>
        <w:t xml:space="preserve"> </w:t>
      </w:r>
      <w:r w:rsidRPr="006D02D3">
        <w:rPr>
          <w:lang w:val="sl-SI"/>
        </w:rPr>
        <w:t xml:space="preserve">pri katerem se uporablja </w:t>
      </w:r>
      <w:r w:rsidR="00FD2ED2">
        <w:rPr>
          <w:lang w:val="sl-SI"/>
        </w:rPr>
        <w:t>tehniko hlajenja kot pri hladilnikih</w:t>
      </w:r>
      <w:r w:rsidRPr="006D02D3">
        <w:rPr>
          <w:lang w:val="sl-SI"/>
        </w:rPr>
        <w:t xml:space="preserve">. Med prevozom potrebuje </w:t>
      </w:r>
      <w:r w:rsidR="00FD2ED2">
        <w:rPr>
          <w:lang w:val="sl-SI"/>
        </w:rPr>
        <w:t>zunanjo oskrbo</w:t>
      </w:r>
      <w:r w:rsidRPr="006D02D3">
        <w:rPr>
          <w:lang w:val="sl-SI"/>
        </w:rPr>
        <w:t xml:space="preserve"> z elektriko ali gorivom.</w:t>
      </w:r>
    </w:p>
    <w:p w:rsidR="00CD7AD2" w:rsidRDefault="006D02D3" w:rsidP="00944635">
      <w:pPr>
        <w:pStyle w:val="ListParagraph"/>
        <w:numPr>
          <w:ilvl w:val="0"/>
          <w:numId w:val="38"/>
        </w:numPr>
        <w:spacing w:line="240" w:lineRule="auto"/>
        <w:ind w:left="714" w:hanging="357"/>
        <w:rPr>
          <w:lang w:val="sl-SI"/>
        </w:rPr>
      </w:pPr>
      <w:r>
        <w:rPr>
          <w:b/>
          <w:lang w:val="sl-SI"/>
        </w:rPr>
        <w:t>Posebi</w:t>
      </w:r>
      <w:r w:rsidR="00F6350F" w:rsidRPr="00A06C73">
        <w:rPr>
          <w:b/>
          <w:lang w:val="sl-SI"/>
        </w:rPr>
        <w:t xml:space="preserve"> kontejnerji</w:t>
      </w:r>
      <w:r w:rsidR="00F6350F" w:rsidRPr="00A06C73">
        <w:rPr>
          <w:lang w:val="sl-SI"/>
        </w:rPr>
        <w:t xml:space="preserve"> se uporabljajo za prevoz izven dimenzijskih tovorov</w:t>
      </w:r>
      <w:r w:rsidR="00F01D92" w:rsidRPr="00A06C73">
        <w:rPr>
          <w:lang w:val="sl-SI"/>
        </w:rPr>
        <w:t xml:space="preserve"> (velika vozila, cevi, stroji itd.)</w:t>
      </w:r>
      <w:r w:rsidR="00F6350F" w:rsidRPr="00A06C73">
        <w:rPr>
          <w:lang w:val="sl-SI"/>
        </w:rPr>
        <w:t>. Gre za vrste kontejnerjev, ki imajo odprto streho ali stranico ter v</w:t>
      </w:r>
      <w:r>
        <w:rPr>
          <w:lang w:val="sl-SI"/>
        </w:rPr>
        <w:t>išjo nosilnost (tudi do 50 ton).</w:t>
      </w:r>
      <w:r w:rsidR="00F6350F" w:rsidRPr="00A06C73">
        <w:rPr>
          <w:lang w:val="sl-SI"/>
        </w:rPr>
        <w:t xml:space="preserve"> Poleg tega se za prevoz tekočin uporablja posebne tank kontejnerje</w:t>
      </w:r>
      <w:r>
        <w:rPr>
          <w:lang w:val="sl-SI"/>
        </w:rPr>
        <w:t xml:space="preserve"> (cisterne) ter ostale različne predelave</w:t>
      </w:r>
      <w:r w:rsidR="00FD2ED2">
        <w:rPr>
          <w:lang w:val="sl-SI"/>
        </w:rPr>
        <w:t xml:space="preserve"> kontejnerjev</w:t>
      </w:r>
      <w:r w:rsidR="00482322">
        <w:rPr>
          <w:lang w:val="sl-SI"/>
        </w:rPr>
        <w:t xml:space="preserve"> za namene bivanja ipd</w:t>
      </w:r>
      <w:r w:rsidR="00FD2ED2">
        <w:rPr>
          <w:lang w:val="sl-SI"/>
        </w:rPr>
        <w:t>.</w:t>
      </w:r>
    </w:p>
    <w:p w:rsidR="00482322" w:rsidRDefault="00482322" w:rsidP="00944635">
      <w:pPr>
        <w:pStyle w:val="ListParagraph"/>
        <w:numPr>
          <w:ilvl w:val="0"/>
          <w:numId w:val="38"/>
        </w:numPr>
        <w:spacing w:line="240" w:lineRule="auto"/>
        <w:ind w:left="714" w:hanging="357"/>
        <w:rPr>
          <w:lang w:val="sl-SI"/>
        </w:rPr>
      </w:pPr>
      <w:r>
        <w:rPr>
          <w:b/>
          <w:lang w:val="sl-SI"/>
        </w:rPr>
        <w:t xml:space="preserve">ULD (Unit Load Device) </w:t>
      </w:r>
      <w:r>
        <w:rPr>
          <w:lang w:val="sl-SI"/>
        </w:rPr>
        <w:t>je aluminijast kontejner, ki se uporablja v letalstvu za prtljago, pošto in tovor</w:t>
      </w:r>
    </w:p>
    <w:p w:rsidR="00482322" w:rsidRDefault="00482322" w:rsidP="00944635">
      <w:pPr>
        <w:pStyle w:val="ListParagraph"/>
        <w:numPr>
          <w:ilvl w:val="0"/>
          <w:numId w:val="38"/>
        </w:numPr>
        <w:spacing w:line="240" w:lineRule="auto"/>
        <w:ind w:left="714" w:hanging="357"/>
        <w:rPr>
          <w:lang w:val="sl-SI"/>
        </w:rPr>
      </w:pPr>
      <w:r w:rsidRPr="00482322">
        <w:rPr>
          <w:b/>
          <w:lang w:val="sl-SI"/>
        </w:rPr>
        <w:t>IBC</w:t>
      </w:r>
      <w:r>
        <w:rPr>
          <w:lang w:val="sl-SI"/>
        </w:rPr>
        <w:t xml:space="preserve"> (</w:t>
      </w:r>
      <w:r w:rsidRPr="00482322">
        <w:rPr>
          <w:lang w:val="sl-SI"/>
        </w:rPr>
        <w:t>intermediate bulk container</w:t>
      </w:r>
      <w:r>
        <w:rPr>
          <w:lang w:val="sl-SI"/>
        </w:rPr>
        <w:t>) se uporablja za tekoči oz. zelo sipki tovor</w:t>
      </w:r>
    </w:p>
    <w:p w:rsidR="00482322" w:rsidRPr="00482322" w:rsidRDefault="00482322" w:rsidP="00944635">
      <w:pPr>
        <w:pStyle w:val="ListParagraph"/>
        <w:numPr>
          <w:ilvl w:val="0"/>
          <w:numId w:val="38"/>
        </w:numPr>
        <w:spacing w:line="240" w:lineRule="auto"/>
        <w:ind w:left="714" w:hanging="357"/>
        <w:rPr>
          <w:b/>
          <w:lang w:val="sl-SI"/>
        </w:rPr>
      </w:pPr>
      <w:r w:rsidRPr="00482322">
        <w:rPr>
          <w:b/>
          <w:lang w:val="sl-SI"/>
        </w:rPr>
        <w:t>Sod</w:t>
      </w:r>
      <w:r>
        <w:rPr>
          <w:b/>
          <w:lang w:val="sl-SI"/>
        </w:rPr>
        <w:t xml:space="preserve"> </w:t>
      </w:r>
      <w:r w:rsidRPr="00482322">
        <w:rPr>
          <w:lang w:val="sl-SI"/>
        </w:rPr>
        <w:t>(primer kemikalije)</w:t>
      </w:r>
    </w:p>
    <w:p w:rsidR="00482322" w:rsidRPr="00A06C73" w:rsidRDefault="00482322" w:rsidP="00944635">
      <w:pPr>
        <w:pStyle w:val="ListParagraph"/>
        <w:numPr>
          <w:ilvl w:val="0"/>
          <w:numId w:val="38"/>
        </w:numPr>
        <w:spacing w:line="240" w:lineRule="auto"/>
        <w:ind w:left="714" w:hanging="357"/>
        <w:rPr>
          <w:lang w:val="sl-SI"/>
        </w:rPr>
      </w:pPr>
      <w:r w:rsidRPr="00482322">
        <w:rPr>
          <w:b/>
          <w:lang w:val="sl-SI"/>
        </w:rPr>
        <w:t>Škatla iz lesa oz. kartona</w:t>
      </w:r>
      <w:r>
        <w:rPr>
          <w:lang w:val="sl-SI"/>
        </w:rPr>
        <w:t xml:space="preserve"> je tudi vrsta kontejnerske enote</w:t>
      </w:r>
    </w:p>
    <w:p w:rsidR="00F01D92" w:rsidRPr="00CD7AD2" w:rsidRDefault="00F6350F" w:rsidP="00CD7AD2">
      <w:pPr>
        <w:spacing w:line="240" w:lineRule="auto"/>
        <w:rPr>
          <w:lang w:val="sl-SI"/>
        </w:rPr>
      </w:pPr>
      <w:r w:rsidRPr="00CD7AD2">
        <w:rPr>
          <w:lang w:val="sl-SI"/>
        </w:rPr>
        <w:t>Po dolžini kontejnerje delimo na 20-čevljske, 40-čevljske ter 45-čevljske. Po višini pa na 8'6 čeveljske ter 9'6 čeveljske oz. tako imenovani high cube. Večina navadnih kontejnerjev ima nosilnost do 28 ton blaga.</w:t>
      </w:r>
      <w:r w:rsidR="00B87457">
        <w:rPr>
          <w:lang w:val="sl-SI"/>
        </w:rPr>
        <w:t xml:space="preserve"> </w:t>
      </w:r>
      <w:r w:rsidR="00F01D92" w:rsidRPr="00CD7AD2">
        <w:rPr>
          <w:lang w:val="sl-SI"/>
        </w:rPr>
        <w:t xml:space="preserve">Večino svetovnih kontejnerskih zalog je v lasti pomorskih družb, ki jih v večjih ali manjših količinah dajejo v najem ostalim ladjarjem ali drugim uporabnikom. Določeni špediterji imajo lastne kontejnerje, ki so pa večinoma posebni ali namenski za točno določen tovor. Taki primeri so kontejnerji za razsute tovore, kontejnerji cisterne za kemikaljie ali pijače itd. Vsako leto gre čez pristanišča širom sveta nekaj več kot 100 miljonov TEUjev. </w:t>
      </w:r>
      <w:r w:rsidR="00CD7AD2" w:rsidRPr="00CD7AD2">
        <w:rPr>
          <w:lang w:val="sl-SI"/>
        </w:rPr>
        <w:t xml:space="preserve"> </w:t>
      </w:r>
      <w:r w:rsidR="00F01D92" w:rsidRPr="00CD7AD2">
        <w:rPr>
          <w:lang w:val="sl-SI"/>
        </w:rPr>
        <w:t>TEU (twenty foot equivalent unit) je enota, ki predstavlja kontejner dolg 20’. TEU uporabljamo, da izrazimo število različno velikih kontejnerjev na osnovi 20’ kontejnerja. Npr. Sto 20’ knt je 100 TEU. Sto 40’ knt je 200 TEU.</w:t>
      </w:r>
    </w:p>
    <w:p w:rsidR="00944635" w:rsidRDefault="00A06C73" w:rsidP="00944635">
      <w:pPr>
        <w:keepNext/>
        <w:spacing w:line="240" w:lineRule="auto"/>
        <w:contextualSpacing/>
        <w:jc w:val="center"/>
      </w:pPr>
      <w:r>
        <w:rPr>
          <w:noProof/>
          <w:lang w:val="sl-SI" w:eastAsia="sl-SI"/>
        </w:rPr>
        <w:drawing>
          <wp:inline distT="0" distB="0" distL="0" distR="0" wp14:anchorId="61827FAB" wp14:editId="6668AABF">
            <wp:extent cx="3935577" cy="2115381"/>
            <wp:effectExtent l="0" t="0" r="825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5577" cy="2115381"/>
                    </a:xfrm>
                    <a:prstGeom prst="rect">
                      <a:avLst/>
                    </a:prstGeom>
                    <a:noFill/>
                    <a:ln>
                      <a:noFill/>
                    </a:ln>
                  </pic:spPr>
                </pic:pic>
              </a:graphicData>
            </a:graphic>
          </wp:inline>
        </w:drawing>
      </w:r>
    </w:p>
    <w:p w:rsidR="00A06C73" w:rsidRDefault="00944635" w:rsidP="00944635">
      <w:pPr>
        <w:pStyle w:val="Caption"/>
        <w:jc w:val="center"/>
        <w:rPr>
          <w:lang w:val="sl-SI"/>
        </w:rPr>
      </w:pPr>
      <w:r>
        <w:t xml:space="preserve">Slika </w:t>
      </w:r>
      <w:r>
        <w:fldChar w:fldCharType="begin"/>
      </w:r>
      <w:r>
        <w:instrText xml:space="preserve"> SEQ Slika \* ARABIC </w:instrText>
      </w:r>
      <w:r>
        <w:fldChar w:fldCharType="separate"/>
      </w:r>
      <w:r w:rsidR="00FD580B">
        <w:rPr>
          <w:noProof/>
        </w:rPr>
        <w:t>3</w:t>
      </w:r>
      <w:r>
        <w:fldChar w:fldCharType="end"/>
      </w:r>
      <w:r>
        <w:t>: Najpogostejše vrste kontejnerjev</w:t>
      </w:r>
    </w:p>
    <w:p w:rsidR="00482322" w:rsidRPr="00FD2ED2" w:rsidRDefault="00FD2ED2" w:rsidP="00FD2ED2">
      <w:pPr>
        <w:rPr>
          <w:lang w:val="sl-SI"/>
        </w:rPr>
      </w:pPr>
      <w:bookmarkStart w:id="4" w:name="_Toc451370231"/>
      <w:r>
        <w:rPr>
          <w:lang w:val="sl-SI"/>
        </w:rPr>
        <w:lastRenderedPageBreak/>
        <w:t xml:space="preserve">Dimenzije </w:t>
      </w:r>
      <w:r w:rsidR="00482322">
        <w:rPr>
          <w:lang w:val="sl-SI"/>
        </w:rPr>
        <w:t>standardnih jeklenih kontejnerjev za prevoz blaga po morju se delijo na notranje, zunanje, dimenzije vrat, volumen ter maksimalna nosilnost skupaj z taro. V spodnji tabeli so prikazane dimenzije najbolj uporabljenih kontejnerjev:</w:t>
      </w:r>
    </w:p>
    <w:p w:rsidR="00A06C73" w:rsidRPr="00A06C73" w:rsidRDefault="00A06C73" w:rsidP="00A06C73">
      <w:pPr>
        <w:rPr>
          <w:lang w:val="sl-SI"/>
        </w:rPr>
      </w:pPr>
    </w:p>
    <w:bookmarkEnd w:id="4"/>
    <w:p w:rsidR="00944635" w:rsidRDefault="00FD2ED2" w:rsidP="00944635">
      <w:pPr>
        <w:keepNext/>
      </w:pPr>
      <w:r>
        <w:rPr>
          <w:noProof/>
          <w:lang w:val="sl-SI" w:eastAsia="sl-SI"/>
        </w:rPr>
        <w:drawing>
          <wp:inline distT="0" distB="0" distL="0" distR="0" wp14:anchorId="5EF3DCFB" wp14:editId="4C7169D7">
            <wp:extent cx="4105605" cy="2155249"/>
            <wp:effectExtent l="0" t="0" r="9525" b="0"/>
            <wp:docPr id="6" name="Slika 6" descr="Rezultat iskanja slik za container 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 iskanja slik za container dimensio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05551" cy="2155220"/>
                    </a:xfrm>
                    <a:prstGeom prst="rect">
                      <a:avLst/>
                    </a:prstGeom>
                    <a:noFill/>
                    <a:ln>
                      <a:noFill/>
                    </a:ln>
                  </pic:spPr>
                </pic:pic>
              </a:graphicData>
            </a:graphic>
          </wp:inline>
        </w:drawing>
      </w:r>
    </w:p>
    <w:p w:rsidR="00B87457" w:rsidRDefault="00944635" w:rsidP="00944635">
      <w:pPr>
        <w:pStyle w:val="Caption"/>
        <w:rPr>
          <w:lang w:val="sl-SI"/>
        </w:rPr>
      </w:pPr>
      <w:r>
        <w:t xml:space="preserve">Slika </w:t>
      </w:r>
      <w:r>
        <w:fldChar w:fldCharType="begin"/>
      </w:r>
      <w:r>
        <w:instrText xml:space="preserve"> SEQ Slika \* ARABIC </w:instrText>
      </w:r>
      <w:r>
        <w:fldChar w:fldCharType="separate"/>
      </w:r>
      <w:r w:rsidR="00FD580B">
        <w:rPr>
          <w:noProof/>
        </w:rPr>
        <w:t>4</w:t>
      </w:r>
      <w:r>
        <w:fldChar w:fldCharType="end"/>
      </w:r>
      <w:r>
        <w:t xml:space="preserve"> Dimenzije in teža kontejnerjev</w:t>
      </w:r>
    </w:p>
    <w:p w:rsidR="00B87457" w:rsidRDefault="00B87457" w:rsidP="004435F3">
      <w:pPr>
        <w:pStyle w:val="Druginaslov"/>
      </w:pPr>
    </w:p>
    <w:p w:rsidR="004435F3" w:rsidRPr="00CD7AD2" w:rsidRDefault="00B87457" w:rsidP="004435F3">
      <w:pPr>
        <w:pStyle w:val="Druginaslov"/>
      </w:pPr>
      <w:r>
        <w:t>PRAVILNO NALAGANJE KONTEJNERJEV</w:t>
      </w:r>
    </w:p>
    <w:p w:rsidR="0016207F" w:rsidRDefault="00FD2ED2" w:rsidP="006C6539">
      <w:pPr>
        <w:rPr>
          <w:lang w:val="sl-SI"/>
        </w:rPr>
      </w:pPr>
      <w:r>
        <w:rPr>
          <w:lang w:val="sl-SI"/>
        </w:rPr>
        <w:t xml:space="preserve">Danes je na voljo ogromno število programov, ki na podlagi vrste, dimenzije ter teže tovora izberejo za to primeren kontejner ter njihovo število. </w:t>
      </w:r>
      <w:r w:rsidR="00944635">
        <w:rPr>
          <w:lang w:val="sl-SI"/>
        </w:rPr>
        <w:t>Vsak pošiljatelj mora poznati tovor, ki ga pošilja ter tovor pravilno zapakirati, naložiti ter pričvrstiti v kontejner. Pri temu mora upoštevati pakiranje, ki ga je uporabljal ter pravilno razporeditev teže. Spodaj je slika z primerom koliko palet gre v 20'ft in 40'ft kontejner.</w:t>
      </w:r>
    </w:p>
    <w:p w:rsidR="00944635" w:rsidRDefault="00944635" w:rsidP="006C6539">
      <w:pPr>
        <w:rPr>
          <w:lang w:val="sl-SI"/>
        </w:rPr>
      </w:pPr>
    </w:p>
    <w:p w:rsidR="00FD2ED2" w:rsidRDefault="00FD2ED2" w:rsidP="006C6539">
      <w:pPr>
        <w:rPr>
          <w:lang w:val="sl-SI"/>
        </w:rPr>
      </w:pPr>
      <w:r>
        <w:rPr>
          <w:noProof/>
          <w:lang w:val="sl-SI" w:eastAsia="sl-SI"/>
        </w:rPr>
        <w:drawing>
          <wp:inline distT="0" distB="0" distL="0" distR="0">
            <wp:extent cx="1943398" cy="2289658"/>
            <wp:effectExtent l="0" t="0" r="0" b="0"/>
            <wp:docPr id="4" name="Slika 4" descr="http://www.oocl.com/SiteCollectionDocuments/OOCL/Our%20Services/Containers/stuffplanim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ocl.com/SiteCollectionDocuments/OOCL/Our%20Services/Containers/stuffplanimg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9045" cy="2296311"/>
                    </a:xfrm>
                    <a:prstGeom prst="rect">
                      <a:avLst/>
                    </a:prstGeom>
                    <a:noFill/>
                    <a:ln>
                      <a:noFill/>
                    </a:ln>
                  </pic:spPr>
                </pic:pic>
              </a:graphicData>
            </a:graphic>
          </wp:inline>
        </w:drawing>
      </w:r>
      <w:r>
        <w:rPr>
          <w:noProof/>
          <w:lang w:val="sl-SI" w:eastAsia="sl-SI"/>
        </w:rPr>
        <w:drawing>
          <wp:inline distT="0" distB="0" distL="0" distR="0" wp14:anchorId="6C4DBD92" wp14:editId="7D6E84C5">
            <wp:extent cx="1822618" cy="2121408"/>
            <wp:effectExtent l="0" t="0" r="635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23655" cy="2122615"/>
                    </a:xfrm>
                    <a:prstGeom prst="rect">
                      <a:avLst/>
                    </a:prstGeom>
                  </pic:spPr>
                </pic:pic>
              </a:graphicData>
            </a:graphic>
          </wp:inline>
        </w:drawing>
      </w:r>
    </w:p>
    <w:p w:rsidR="00944635" w:rsidRDefault="00FD580B" w:rsidP="006C6539">
      <w:pPr>
        <w:rPr>
          <w:lang w:val="sl-SI"/>
        </w:rPr>
      </w:pPr>
      <w:r>
        <w:rPr>
          <w:lang w:val="sl-SI"/>
        </w:rPr>
        <w:t xml:space="preserve">V navaden 20'ft kontejner lahko naložimo tovor na 11 europalet, v 40'ft pa približno 23/24 europalet. </w:t>
      </w:r>
    </w:p>
    <w:p w:rsidR="00FD580B" w:rsidRDefault="00FD580B" w:rsidP="006C6539">
      <w:pPr>
        <w:rPr>
          <w:lang w:val="sl-SI"/>
        </w:rPr>
      </w:pPr>
    </w:p>
    <w:p w:rsidR="00FD580B" w:rsidRDefault="00FD580B" w:rsidP="006C6539">
      <w:pPr>
        <w:rPr>
          <w:lang w:val="sl-SI"/>
        </w:rPr>
      </w:pPr>
    </w:p>
    <w:p w:rsidR="00FD2ED2" w:rsidRDefault="0073142D" w:rsidP="006C6539">
      <w:pPr>
        <w:rPr>
          <w:lang w:val="sl-SI"/>
        </w:rPr>
      </w:pPr>
      <w:r>
        <w:rPr>
          <w:lang w:val="sl-SI"/>
        </w:rPr>
        <w:t>Pravila</w:t>
      </w:r>
      <w:r w:rsidR="00FD2ED2">
        <w:rPr>
          <w:lang w:val="sl-SI"/>
        </w:rPr>
        <w:t xml:space="preserve"> pravilnega nalaganja kontejnerjev:</w:t>
      </w:r>
    </w:p>
    <w:p w:rsidR="00FD2ED2" w:rsidRDefault="00FD2ED2" w:rsidP="00FD2ED2">
      <w:pPr>
        <w:pStyle w:val="ListParagraph"/>
        <w:numPr>
          <w:ilvl w:val="0"/>
          <w:numId w:val="39"/>
        </w:numPr>
        <w:rPr>
          <w:lang w:val="sl-SI"/>
        </w:rPr>
      </w:pPr>
      <w:r>
        <w:rPr>
          <w:lang w:val="sl-SI"/>
        </w:rPr>
        <w:t>Pošiljatelj je odgovoren za pravilen naklad ter izbiro kontejnerja, saj on pozna blago najboljše</w:t>
      </w:r>
    </w:p>
    <w:p w:rsidR="00FD2ED2" w:rsidRDefault="00FD2ED2" w:rsidP="00FD2ED2">
      <w:pPr>
        <w:pStyle w:val="ListParagraph"/>
        <w:numPr>
          <w:ilvl w:val="0"/>
          <w:numId w:val="39"/>
        </w:numPr>
        <w:rPr>
          <w:lang w:val="sl-SI"/>
        </w:rPr>
      </w:pPr>
      <w:r>
        <w:rPr>
          <w:lang w:val="sl-SI"/>
        </w:rPr>
        <w:t>Kontejner je potrebno pred polnjenjem pregledati, da ni neprijetnih vonjav ter poškodb</w:t>
      </w:r>
    </w:p>
    <w:p w:rsidR="00FD2ED2" w:rsidRDefault="0063685B" w:rsidP="00FD2ED2">
      <w:pPr>
        <w:pStyle w:val="ListParagraph"/>
        <w:numPr>
          <w:ilvl w:val="0"/>
          <w:numId w:val="39"/>
        </w:numPr>
        <w:rPr>
          <w:lang w:val="sl-SI"/>
        </w:rPr>
      </w:pPr>
      <w:r>
        <w:rPr>
          <w:lang w:val="sl-SI"/>
        </w:rPr>
        <w:t xml:space="preserve">Pred nakladom je potrebno preverit težo tovora ter njegovo pravilno/enakomerno razporeditev v kontejnerju </w:t>
      </w:r>
    </w:p>
    <w:p w:rsidR="0063685B" w:rsidRDefault="0063685B" w:rsidP="00FD2ED2">
      <w:pPr>
        <w:pStyle w:val="ListParagraph"/>
        <w:numPr>
          <w:ilvl w:val="0"/>
          <w:numId w:val="39"/>
        </w:numPr>
        <w:rPr>
          <w:lang w:val="sl-SI"/>
        </w:rPr>
      </w:pPr>
      <w:r>
        <w:rPr>
          <w:lang w:val="sl-SI"/>
        </w:rPr>
        <w:t>Nekatere tovore se ne sme prevažati v istem kontejnerju (določeni tovor privlačijo vlago in tako lahko poškodujejo drugega)</w:t>
      </w:r>
    </w:p>
    <w:p w:rsidR="0063685B" w:rsidRDefault="0063685B" w:rsidP="00FD2ED2">
      <w:pPr>
        <w:pStyle w:val="ListParagraph"/>
        <w:numPr>
          <w:ilvl w:val="0"/>
          <w:numId w:val="39"/>
        </w:numPr>
        <w:rPr>
          <w:lang w:val="sl-SI"/>
        </w:rPr>
      </w:pPr>
      <w:r>
        <w:rPr>
          <w:lang w:val="sl-SI"/>
        </w:rPr>
        <w:t>Nevaren tovor (po ADR/IMO) je potrebno posebej zavarovati da ne pride do nesreč</w:t>
      </w:r>
    </w:p>
    <w:p w:rsidR="0063685B" w:rsidRDefault="0063685B" w:rsidP="00FD2ED2">
      <w:pPr>
        <w:pStyle w:val="ListParagraph"/>
        <w:numPr>
          <w:ilvl w:val="0"/>
          <w:numId w:val="39"/>
        </w:numPr>
        <w:rPr>
          <w:lang w:val="sl-SI"/>
        </w:rPr>
      </w:pPr>
      <w:r>
        <w:rPr>
          <w:lang w:val="sl-SI"/>
        </w:rPr>
        <w:t>Moker/suh tovor se ne sme naložiti skupaj oz. se ga mora posebej ločiti. Prav tako zelo težak in lahek tovor ne gresta skupaj</w:t>
      </w:r>
    </w:p>
    <w:p w:rsidR="0063685B" w:rsidRDefault="0063685B" w:rsidP="00FD2ED2">
      <w:pPr>
        <w:pStyle w:val="ListParagraph"/>
        <w:numPr>
          <w:ilvl w:val="0"/>
          <w:numId w:val="39"/>
        </w:numPr>
        <w:rPr>
          <w:lang w:val="sl-SI"/>
        </w:rPr>
      </w:pPr>
      <w:r>
        <w:rPr>
          <w:lang w:val="sl-SI"/>
        </w:rPr>
        <w:t>Tovor, ki ima zelo skoncentrirano težo (primer coilsi) je potrebno podložiti z lesenimi tramovi, da se teža razporedi</w:t>
      </w:r>
    </w:p>
    <w:p w:rsidR="0063685B" w:rsidRPr="00FD2ED2" w:rsidRDefault="00FD580B" w:rsidP="00FD2ED2">
      <w:pPr>
        <w:pStyle w:val="ListParagraph"/>
        <w:numPr>
          <w:ilvl w:val="0"/>
          <w:numId w:val="39"/>
        </w:numPr>
        <w:rPr>
          <w:lang w:val="sl-SI"/>
        </w:rPr>
      </w:pPr>
      <w:r>
        <w:rPr>
          <w:lang w:val="sl-SI"/>
        </w:rPr>
        <w:t>Na koncu je potrebno tovor pravilno pričvrstiti ter zavarovati, da ne pride do premikov med plovbo</w:t>
      </w:r>
      <w:r w:rsidR="007C242A">
        <w:rPr>
          <w:lang w:val="sl-SI"/>
        </w:rPr>
        <w:t>. Obstaja ogromno vrst in tehnik pričvrščevanja, ki se danes uporablja, vse pa niso vedno najboljša izbira za tovor, ki ga imamo.</w:t>
      </w:r>
    </w:p>
    <w:p w:rsidR="00FD2ED2" w:rsidRDefault="00FD2ED2" w:rsidP="006C6539">
      <w:pPr>
        <w:rPr>
          <w:lang w:val="sl-SI"/>
        </w:rPr>
      </w:pPr>
    </w:p>
    <w:p w:rsidR="0063685B" w:rsidRDefault="0063685B" w:rsidP="0063685B">
      <w:pPr>
        <w:keepNext/>
      </w:pPr>
      <w:r>
        <w:rPr>
          <w:noProof/>
          <w:lang w:val="sl-SI" w:eastAsia="sl-SI"/>
        </w:rPr>
        <w:drawing>
          <wp:inline distT="0" distB="0" distL="0" distR="0" wp14:anchorId="741DDB25" wp14:editId="386D0F08">
            <wp:extent cx="5760720" cy="161993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1619935"/>
                    </a:xfrm>
                    <a:prstGeom prst="rect">
                      <a:avLst/>
                    </a:prstGeom>
                  </pic:spPr>
                </pic:pic>
              </a:graphicData>
            </a:graphic>
          </wp:inline>
        </w:drawing>
      </w:r>
    </w:p>
    <w:p w:rsidR="004435F3" w:rsidRPr="00CD7AD2" w:rsidRDefault="0063685B" w:rsidP="0063685B">
      <w:pPr>
        <w:pStyle w:val="Caption"/>
        <w:rPr>
          <w:lang w:val="sl-SI"/>
        </w:rPr>
      </w:pPr>
      <w:r>
        <w:t xml:space="preserve">Slika </w:t>
      </w:r>
      <w:r>
        <w:fldChar w:fldCharType="begin"/>
      </w:r>
      <w:r>
        <w:instrText xml:space="preserve"> SEQ Slika \* ARABIC </w:instrText>
      </w:r>
      <w:r>
        <w:fldChar w:fldCharType="separate"/>
      </w:r>
      <w:r w:rsidR="00FD580B">
        <w:rPr>
          <w:noProof/>
        </w:rPr>
        <w:t>5</w:t>
      </w:r>
      <w:r>
        <w:fldChar w:fldCharType="end"/>
      </w:r>
      <w:r>
        <w:t xml:space="preserve"> Pravilno naložen ter zaščiten tovor v odprtem tipu kontejnera</w:t>
      </w:r>
    </w:p>
    <w:bookmarkStart w:id="5" w:name="_Toc451370234"/>
    <w:p w:rsidR="00A229C4" w:rsidRDefault="00FD580B" w:rsidP="001C5BEA">
      <w:pPr>
        <w:pStyle w:val="Druginaslov"/>
      </w:pPr>
      <w:r>
        <w:rPr>
          <w:noProof/>
        </w:rPr>
        <mc:AlternateContent>
          <mc:Choice Requires="wps">
            <w:drawing>
              <wp:anchor distT="0" distB="0" distL="114300" distR="114300" simplePos="0" relativeHeight="251670528" behindDoc="0" locked="0" layoutInCell="1" allowOverlap="1" wp14:anchorId="3B74F262" wp14:editId="10836A9A">
                <wp:simplePos x="0" y="0"/>
                <wp:positionH relativeFrom="column">
                  <wp:posOffset>2807970</wp:posOffset>
                </wp:positionH>
                <wp:positionV relativeFrom="paragraph">
                  <wp:posOffset>2549525</wp:posOffset>
                </wp:positionV>
                <wp:extent cx="3037840" cy="635"/>
                <wp:effectExtent l="0" t="0" r="0" b="0"/>
                <wp:wrapThrough wrapText="bothSides">
                  <wp:wrapPolygon edited="0">
                    <wp:start x="0" y="0"/>
                    <wp:lineTo x="0" y="21600"/>
                    <wp:lineTo x="21600" y="21600"/>
                    <wp:lineTo x="21600" y="0"/>
                  </wp:wrapPolygon>
                </wp:wrapThrough>
                <wp:docPr id="9" name="Polje z besedilom 9"/>
                <wp:cNvGraphicFramePr/>
                <a:graphic xmlns:a="http://schemas.openxmlformats.org/drawingml/2006/main">
                  <a:graphicData uri="http://schemas.microsoft.com/office/word/2010/wordprocessingShape">
                    <wps:wsp>
                      <wps:cNvSpPr txBox="1"/>
                      <wps:spPr>
                        <a:xfrm>
                          <a:off x="0" y="0"/>
                          <a:ext cx="3037840" cy="635"/>
                        </a:xfrm>
                        <a:prstGeom prst="rect">
                          <a:avLst/>
                        </a:prstGeom>
                        <a:solidFill>
                          <a:prstClr val="white"/>
                        </a:solidFill>
                        <a:ln>
                          <a:noFill/>
                        </a:ln>
                        <a:effectLst/>
                      </wps:spPr>
                      <wps:txbx>
                        <w:txbxContent>
                          <w:p w:rsidR="00FD580B" w:rsidRPr="004349FA" w:rsidRDefault="00FD580B" w:rsidP="00FD580B">
                            <w:pPr>
                              <w:pStyle w:val="Caption"/>
                              <w:rPr>
                                <w:rFonts w:eastAsiaTheme="majorEastAsia" w:cstheme="majorBidi"/>
                                <w:noProof/>
                                <w:color w:val="404040" w:themeColor="text1" w:themeTint="BF"/>
                                <w:sz w:val="24"/>
                                <w:szCs w:val="26"/>
                              </w:rPr>
                            </w:pPr>
                            <w:r>
                              <w:t xml:space="preserve">Slika </w:t>
                            </w:r>
                            <w:r>
                              <w:fldChar w:fldCharType="begin"/>
                            </w:r>
                            <w:r>
                              <w:instrText xml:space="preserve"> SEQ Slika \* ARABIC </w:instrText>
                            </w:r>
                            <w:r>
                              <w:fldChar w:fldCharType="separate"/>
                            </w:r>
                            <w:r>
                              <w:rPr>
                                <w:noProof/>
                              </w:rPr>
                              <w:t>6</w:t>
                            </w:r>
                            <w:r>
                              <w:fldChar w:fldCharType="end"/>
                            </w:r>
                            <w:r>
                              <w:t xml:space="preserve"> Pravilna zaščita tovora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Polje z besedilom 9" o:spid="_x0000_s1028" type="#_x0000_t202" style="position:absolute;margin-left:221.1pt;margin-top:200.75pt;width:239.2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" stroked="f">
                <v:textbox style="mso-fit-shape-to-text:t" inset="0,0,0,0">
                  <w:txbxContent>
                    <w:p w:rsidR="00FD580B" w:rsidRPr="004349FA" w:rsidRDefault="00FD580B" w:rsidP="00FD580B">
                      <w:pPr>
                        <w:pStyle w:val="Napis"/>
                        <w:rPr>
                          <w:rFonts w:eastAsiaTheme="majorEastAsia" w:cstheme="majorBidi"/>
                          <w:noProof/>
                          <w:color w:val="404040" w:themeColor="text1" w:themeTint="BF"/>
                          <w:sz w:val="24"/>
                          <w:szCs w:val="26"/>
                        </w:rPr>
                      </w:pPr>
                      <w:proofErr w:type="spellStart"/>
                      <w:r>
                        <w:t>Slika</w:t>
                      </w:r>
                      <w:proofErr w:type="spellEnd"/>
                      <w:r>
                        <w:t xml:space="preserve"> </w:t>
                      </w:r>
                      <w:r>
                        <w:fldChar w:fldCharType="begin"/>
                      </w:r>
                      <w:r>
                        <w:instrText xml:space="preserve"> SEQ Slika \* ARABIC </w:instrText>
                      </w:r>
                      <w:r>
                        <w:fldChar w:fldCharType="separate"/>
                      </w:r>
                      <w:r>
                        <w:rPr>
                          <w:noProof/>
                        </w:rPr>
                        <w:t>6</w:t>
                      </w:r>
                      <w:r>
                        <w:fldChar w:fldCharType="end"/>
                      </w:r>
                      <w:r>
                        <w:t xml:space="preserve"> </w:t>
                      </w:r>
                      <w:proofErr w:type="spellStart"/>
                      <w:r>
                        <w:t>Pravilna</w:t>
                      </w:r>
                      <w:proofErr w:type="spellEnd"/>
                      <w:r>
                        <w:t xml:space="preserve"> </w:t>
                      </w:r>
                      <w:proofErr w:type="spellStart"/>
                      <w:r>
                        <w:t>zaščita</w:t>
                      </w:r>
                      <w:proofErr w:type="spellEnd"/>
                      <w:r>
                        <w:t xml:space="preserve"> </w:t>
                      </w:r>
                      <w:proofErr w:type="spellStart"/>
                      <w:r>
                        <w:t>tovora</w:t>
                      </w:r>
                      <w:proofErr w:type="spellEnd"/>
                    </w:p>
                  </w:txbxContent>
                </v:textbox>
                <w10:wrap type="through"/>
              </v:shape>
            </w:pict>
          </mc:Fallback>
        </mc:AlternateContent>
      </w:r>
      <w:r w:rsidR="0063685B">
        <w:rPr>
          <w:noProof/>
          <w:lang w:eastAsia="sl-SI"/>
        </w:rPr>
        <w:drawing>
          <wp:anchor distT="0" distB="0" distL="114300" distR="114300" simplePos="0" relativeHeight="251668480" behindDoc="1" locked="0" layoutInCell="1" allowOverlap="1" wp14:anchorId="7F63AF7B" wp14:editId="2E500DE0">
            <wp:simplePos x="0" y="0"/>
            <wp:positionH relativeFrom="column">
              <wp:posOffset>2807970</wp:posOffset>
            </wp:positionH>
            <wp:positionV relativeFrom="paragraph">
              <wp:posOffset>159385</wp:posOffset>
            </wp:positionV>
            <wp:extent cx="3037840" cy="2332990"/>
            <wp:effectExtent l="0" t="0" r="0" b="0"/>
            <wp:wrapThrough wrapText="bothSides">
              <wp:wrapPolygon edited="0">
                <wp:start x="0" y="0"/>
                <wp:lineTo x="0" y="21341"/>
                <wp:lineTo x="21401" y="21341"/>
                <wp:lineTo x="21401" y="0"/>
                <wp:lineTo x="0" y="0"/>
              </wp:wrapPolygon>
            </wp:wrapThrough>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37840" cy="2332990"/>
                    </a:xfrm>
                    <a:prstGeom prst="rect">
                      <a:avLst/>
                    </a:prstGeom>
                  </pic:spPr>
                </pic:pic>
              </a:graphicData>
            </a:graphic>
            <wp14:sizeRelH relativeFrom="page">
              <wp14:pctWidth>0</wp14:pctWidth>
            </wp14:sizeRelH>
            <wp14:sizeRelV relativeFrom="page">
              <wp14:pctHeight>0</wp14:pctHeight>
            </wp14:sizeRelV>
          </wp:anchor>
        </w:drawing>
      </w:r>
      <w:r w:rsidR="0063685B">
        <w:rPr>
          <w:noProof/>
          <w:lang w:eastAsia="sl-SI"/>
        </w:rPr>
        <w:drawing>
          <wp:anchor distT="0" distB="0" distL="114300" distR="114300" simplePos="0" relativeHeight="251667456" behindDoc="1" locked="0" layoutInCell="1" allowOverlap="1" wp14:anchorId="62E63C38" wp14:editId="35A11306">
            <wp:simplePos x="0" y="0"/>
            <wp:positionH relativeFrom="column">
              <wp:posOffset>-635</wp:posOffset>
            </wp:positionH>
            <wp:positionV relativeFrom="paragraph">
              <wp:posOffset>159385</wp:posOffset>
            </wp:positionV>
            <wp:extent cx="2397760" cy="2332990"/>
            <wp:effectExtent l="0" t="0" r="2540" b="0"/>
            <wp:wrapThrough wrapText="bothSides">
              <wp:wrapPolygon edited="0">
                <wp:start x="0" y="0"/>
                <wp:lineTo x="0" y="21341"/>
                <wp:lineTo x="21451" y="21341"/>
                <wp:lineTo x="21451" y="0"/>
                <wp:lineTo x="0" y="0"/>
              </wp:wrapPolygon>
            </wp:wrapThrough>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7760" cy="2332990"/>
                    </a:xfrm>
                    <a:prstGeom prst="rect">
                      <a:avLst/>
                    </a:prstGeom>
                  </pic:spPr>
                </pic:pic>
              </a:graphicData>
            </a:graphic>
            <wp14:sizeRelH relativeFrom="page">
              <wp14:pctWidth>0</wp14:pctWidth>
            </wp14:sizeRelH>
            <wp14:sizeRelV relativeFrom="page">
              <wp14:pctHeight>0</wp14:pctHeight>
            </wp14:sizeRelV>
          </wp:anchor>
        </w:drawing>
      </w:r>
    </w:p>
    <w:p w:rsidR="0063685B" w:rsidRDefault="0063685B" w:rsidP="0063685B">
      <w:pPr>
        <w:keepNext/>
      </w:pPr>
      <w:bookmarkStart w:id="6" w:name="_Toc451370235"/>
      <w:bookmarkEnd w:id="5"/>
      <w:bookmarkEnd w:id="6"/>
    </w:p>
    <w:p w:rsidR="0063685B" w:rsidRDefault="0063685B" w:rsidP="0063685B">
      <w:pPr>
        <w:pStyle w:val="Caption"/>
      </w:pPr>
    </w:p>
    <w:p w:rsidR="0063685B" w:rsidRDefault="0063685B" w:rsidP="0063685B">
      <w:pPr>
        <w:pStyle w:val="Caption"/>
      </w:pPr>
    </w:p>
    <w:p w:rsidR="0063685B" w:rsidRDefault="0063685B" w:rsidP="0063685B">
      <w:pPr>
        <w:pStyle w:val="Caption"/>
      </w:pPr>
    </w:p>
    <w:p w:rsidR="0063685B" w:rsidRDefault="0063685B" w:rsidP="0063685B">
      <w:pPr>
        <w:pStyle w:val="Caption"/>
      </w:pPr>
    </w:p>
    <w:p w:rsidR="0063685B" w:rsidRDefault="0063685B" w:rsidP="0063685B">
      <w:pPr>
        <w:pStyle w:val="Caption"/>
      </w:pPr>
    </w:p>
    <w:p w:rsidR="0063685B" w:rsidRDefault="0063685B" w:rsidP="0063685B">
      <w:pPr>
        <w:pStyle w:val="Caption"/>
      </w:pPr>
    </w:p>
    <w:p w:rsidR="0063685B" w:rsidRDefault="0063685B" w:rsidP="0063685B">
      <w:pPr>
        <w:pStyle w:val="Caption"/>
      </w:pPr>
      <w:r>
        <w:t xml:space="preserve">Slika </w:t>
      </w:r>
      <w:r>
        <w:fldChar w:fldCharType="begin"/>
      </w:r>
      <w:r>
        <w:instrText xml:space="preserve"> SEQ Slika \* ARABIC </w:instrText>
      </w:r>
      <w:r>
        <w:fldChar w:fldCharType="separate"/>
      </w:r>
      <w:r w:rsidR="00FD580B">
        <w:rPr>
          <w:noProof/>
        </w:rPr>
        <w:t>7</w:t>
      </w:r>
      <w:r>
        <w:fldChar w:fldCharType="end"/>
      </w:r>
      <w:r>
        <w:t xml:space="preserve"> Pravilno nalaganje ter zaščita coilsa</w:t>
      </w:r>
    </w:p>
    <w:p w:rsidR="00B87457" w:rsidRDefault="0063685B" w:rsidP="00A06C73">
      <w:pPr>
        <w:rPr>
          <w:lang w:val="sl-SI"/>
        </w:rPr>
      </w:pPr>
      <w:r w:rsidRPr="0063685B">
        <w:rPr>
          <w:noProof/>
          <w:lang w:val="sl-SI" w:eastAsia="sl-SI"/>
        </w:rPr>
        <w:t xml:space="preserve"> </w:t>
      </w:r>
    </w:p>
    <w:p w:rsidR="0063685B" w:rsidRDefault="0063685B" w:rsidP="00A06C73">
      <w:pPr>
        <w:rPr>
          <w:lang w:val="sl-SI"/>
        </w:rPr>
      </w:pPr>
    </w:p>
    <w:p w:rsidR="00B87457" w:rsidRDefault="00B87457" w:rsidP="00B87457">
      <w:pPr>
        <w:pStyle w:val="Druginaslov"/>
      </w:pPr>
      <w:r>
        <w:t>PRIMERI NEPRAVILNEGA NALAGANJA</w:t>
      </w:r>
      <w:r w:rsidR="001C6A81">
        <w:t xml:space="preserve"> IN PRIČVRŠČEVANJA</w:t>
      </w:r>
    </w:p>
    <w:p w:rsidR="007C242A" w:rsidRDefault="007C242A" w:rsidP="00B87457">
      <w:pPr>
        <w:rPr>
          <w:lang w:val="sl-SI"/>
        </w:rPr>
      </w:pPr>
      <w:r>
        <w:rPr>
          <w:lang w:val="sl-SI"/>
        </w:rPr>
        <w:t xml:space="preserve">Pri prevozih v kontejnerjih po zraku, kopen ali morju prihaja do velikih sil, ki posledično vplivajo na tovor v kontejnerju. </w:t>
      </w:r>
      <w:r w:rsidR="004C5BBD">
        <w:rPr>
          <w:lang w:val="sl-SI"/>
        </w:rPr>
        <w:t xml:space="preserve">Da se zmanjša delovanje sil je potrebno tovor zelo dobro zavarovati. </w:t>
      </w:r>
      <w:r w:rsidR="001C6A81">
        <w:rPr>
          <w:lang w:val="sl-SI"/>
        </w:rPr>
        <w:t>Spodaj so prikazani štirje primeri slabo pričvrščenega tovora, kateri je pustil poškodbe na kontejnerju.</w:t>
      </w:r>
    </w:p>
    <w:p w:rsidR="004C5BBD" w:rsidRDefault="001C6A81" w:rsidP="00B87457">
      <w:pPr>
        <w:rPr>
          <w:lang w:val="sl-SI"/>
        </w:rPr>
      </w:pPr>
      <w:r>
        <w:rPr>
          <w:noProof/>
          <w:lang w:val="sl-SI" w:eastAsia="sl-SI"/>
        </w:rPr>
        <w:drawing>
          <wp:inline distT="0" distB="0" distL="0" distR="0" wp14:anchorId="0C004C00" wp14:editId="09B7A88C">
            <wp:extent cx="2728022" cy="1777593"/>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33847" cy="1781389"/>
                    </a:xfrm>
                    <a:prstGeom prst="rect">
                      <a:avLst/>
                    </a:prstGeom>
                    <a:ln>
                      <a:noFill/>
                    </a:ln>
                    <a:effectLst>
                      <a:softEdge rad="112500"/>
                    </a:effectLst>
                  </pic:spPr>
                </pic:pic>
              </a:graphicData>
            </a:graphic>
          </wp:inline>
        </w:drawing>
      </w:r>
      <w:r>
        <w:rPr>
          <w:lang w:val="sl-SI"/>
        </w:rPr>
        <w:t xml:space="preserve">          </w:t>
      </w:r>
      <w:r>
        <w:rPr>
          <w:noProof/>
          <w:lang w:val="sl-SI" w:eastAsia="sl-SI"/>
        </w:rPr>
        <w:drawing>
          <wp:inline distT="0" distB="0" distL="0" distR="0" wp14:anchorId="51FE2BF1" wp14:editId="26CDDBB7">
            <wp:extent cx="2387215" cy="1776071"/>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391048" cy="1778923"/>
                    </a:xfrm>
                    <a:prstGeom prst="rect">
                      <a:avLst/>
                    </a:prstGeom>
                    <a:ln>
                      <a:noFill/>
                    </a:ln>
                    <a:effectLst>
                      <a:softEdge rad="112500"/>
                    </a:effectLst>
                  </pic:spPr>
                </pic:pic>
              </a:graphicData>
            </a:graphic>
          </wp:inline>
        </w:drawing>
      </w:r>
    </w:p>
    <w:p w:rsidR="001C6A81" w:rsidRDefault="001C6A81" w:rsidP="00B87457">
      <w:pPr>
        <w:rPr>
          <w:lang w:val="sl-SI"/>
        </w:rPr>
      </w:pPr>
    </w:p>
    <w:p w:rsidR="001C6A81" w:rsidRDefault="001C6A81" w:rsidP="00B87457">
      <w:pPr>
        <w:rPr>
          <w:lang w:val="sl-SI"/>
        </w:rPr>
      </w:pPr>
      <w:r>
        <w:rPr>
          <w:noProof/>
          <w:lang w:val="sl-SI" w:eastAsia="sl-SI"/>
        </w:rPr>
        <w:drawing>
          <wp:inline distT="0" distB="0" distL="0" distR="0" wp14:anchorId="51BE416A" wp14:editId="48F13EE0">
            <wp:extent cx="2621584" cy="1960474"/>
            <wp:effectExtent l="0" t="0" r="7620" b="190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623250" cy="1961720"/>
                    </a:xfrm>
                    <a:prstGeom prst="rect">
                      <a:avLst/>
                    </a:prstGeom>
                    <a:ln>
                      <a:noFill/>
                    </a:ln>
                    <a:effectLst>
                      <a:softEdge rad="112500"/>
                    </a:effectLst>
                  </pic:spPr>
                </pic:pic>
              </a:graphicData>
            </a:graphic>
          </wp:inline>
        </w:drawing>
      </w:r>
      <w:r>
        <w:rPr>
          <w:noProof/>
          <w:lang w:val="sl-SI" w:eastAsia="sl-SI"/>
        </w:rPr>
        <w:t xml:space="preserve">       </w:t>
      </w:r>
      <w:r w:rsidRPr="001C6A81">
        <w:rPr>
          <w:noProof/>
          <w:lang w:val="sl-SI" w:eastAsia="sl-SI"/>
        </w:rPr>
        <w:t xml:space="preserve"> </w:t>
      </w:r>
      <w:r>
        <w:rPr>
          <w:noProof/>
          <w:lang w:val="sl-SI" w:eastAsia="sl-SI"/>
        </w:rPr>
        <w:drawing>
          <wp:inline distT="0" distB="0" distL="0" distR="0" wp14:anchorId="6F07094A" wp14:editId="43A8EEE4">
            <wp:extent cx="2571374" cy="1952178"/>
            <wp:effectExtent l="0" t="0" r="635"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574911" cy="1954863"/>
                    </a:xfrm>
                    <a:prstGeom prst="rect">
                      <a:avLst/>
                    </a:prstGeom>
                    <a:ln>
                      <a:noFill/>
                    </a:ln>
                    <a:effectLst>
                      <a:softEdge rad="112500"/>
                    </a:effectLst>
                  </pic:spPr>
                </pic:pic>
              </a:graphicData>
            </a:graphic>
          </wp:inline>
        </w:drawing>
      </w:r>
    </w:p>
    <w:p w:rsidR="007C242A" w:rsidRDefault="007C242A" w:rsidP="00B87457">
      <w:pPr>
        <w:rPr>
          <w:lang w:val="sl-SI"/>
        </w:rPr>
      </w:pPr>
    </w:p>
    <w:p w:rsidR="001C6A81" w:rsidRDefault="001C6A81" w:rsidP="00B87457">
      <w:pPr>
        <w:rPr>
          <w:lang w:val="sl-SI"/>
        </w:rPr>
      </w:pPr>
      <w:r>
        <w:rPr>
          <w:noProof/>
          <w:lang w:val="sl-SI" w:eastAsia="sl-SI"/>
        </w:rPr>
        <w:drawing>
          <wp:anchor distT="0" distB="0" distL="114300" distR="114300" simplePos="0" relativeHeight="251671552" behindDoc="1" locked="0" layoutInCell="1" allowOverlap="1" wp14:anchorId="41532DD9" wp14:editId="2F12B92C">
            <wp:simplePos x="0" y="0"/>
            <wp:positionH relativeFrom="column">
              <wp:posOffset>1776095</wp:posOffset>
            </wp:positionH>
            <wp:positionV relativeFrom="paragraph">
              <wp:posOffset>327025</wp:posOffset>
            </wp:positionV>
            <wp:extent cx="3862070" cy="2112010"/>
            <wp:effectExtent l="0" t="0" r="5080" b="2540"/>
            <wp:wrapThrough wrapText="bothSides">
              <wp:wrapPolygon edited="0">
                <wp:start x="426" y="0"/>
                <wp:lineTo x="0" y="390"/>
                <wp:lineTo x="0" y="21236"/>
                <wp:lineTo x="426" y="21431"/>
                <wp:lineTo x="21096" y="21431"/>
                <wp:lineTo x="21522" y="21236"/>
                <wp:lineTo x="21522" y="390"/>
                <wp:lineTo x="21096" y="0"/>
                <wp:lineTo x="426" y="0"/>
              </wp:wrapPolygon>
            </wp:wrapThrough>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862070" cy="21120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87457" w:rsidRDefault="007C242A" w:rsidP="00B87457">
      <w:pPr>
        <w:rPr>
          <w:lang w:val="sl-SI"/>
        </w:rPr>
      </w:pPr>
      <w:r>
        <w:rPr>
          <w:lang w:val="sl-SI"/>
        </w:rPr>
        <w:t>Leta 2013 se je ladja MOL Comfort pri obali Jemna prelomila na pol ter kasneje tudi potopila. Med glavna</w:t>
      </w:r>
      <w:r w:rsidR="004C5BBD">
        <w:rPr>
          <w:lang w:val="sl-SI"/>
        </w:rPr>
        <w:t xml:space="preserve"> dva</w:t>
      </w:r>
      <w:r>
        <w:rPr>
          <w:lang w:val="sl-SI"/>
        </w:rPr>
        <w:t xml:space="preserve"> razloga naj bi spadala napaka pri varjenju (kar je zelo malo verjetno) ter nepravilno naloženi kontejnerji. Tri leta kasneje je IMO objavil nova pravila, da morajo biti vsi kontejnerji preden so naloženi na ladjo tudi obvezno stehtani. Do tedaj se je uporabljalo samo okvirne ocene pošiljateljev, ki so velikokrat sporočili napačno težo.</w:t>
      </w:r>
    </w:p>
    <w:sectPr w:rsidR="00B87457" w:rsidSect="007B6E07">
      <w:footerReference w:type="default" r:id="rId22"/>
      <w:pgSz w:w="11906" w:h="16838"/>
      <w:pgMar w:top="1417" w:right="1417" w:bottom="1417" w:left="1417" w:header="708" w:footer="708"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65D6" w:rsidRDefault="00CF65D6" w:rsidP="00FC4421">
      <w:pPr>
        <w:spacing w:after="0" w:line="240" w:lineRule="auto"/>
      </w:pPr>
      <w:r>
        <w:separator/>
      </w:r>
    </w:p>
  </w:endnote>
  <w:endnote w:type="continuationSeparator" w:id="0">
    <w:p w:rsidR="00CF65D6" w:rsidRDefault="00CF65D6" w:rsidP="00FC44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etroflexUniMedium">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27BB" w:rsidRPr="007B6E07" w:rsidRDefault="002F27BB">
    <w:pPr>
      <w:pStyle w:val="Footer"/>
      <w:rPr>
        <w:sz w:val="20"/>
        <w:lang w:val="sl-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65D6" w:rsidRDefault="00CF65D6" w:rsidP="00FC4421">
      <w:pPr>
        <w:spacing w:after="0" w:line="240" w:lineRule="auto"/>
      </w:pPr>
      <w:r>
        <w:separator/>
      </w:r>
    </w:p>
  </w:footnote>
  <w:footnote w:type="continuationSeparator" w:id="0">
    <w:p w:rsidR="00CF65D6" w:rsidRDefault="00CF65D6" w:rsidP="00FC44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BF8AA8B6"/>
    <w:lvl w:ilvl="0">
      <w:start w:val="1"/>
      <w:numFmt w:val="decimal"/>
      <w:pStyle w:val="ListNumber"/>
      <w:lvlText w:val="%1."/>
      <w:lvlJc w:val="left"/>
      <w:pPr>
        <w:tabs>
          <w:tab w:val="num" w:pos="360"/>
        </w:tabs>
        <w:ind w:left="360" w:hanging="360"/>
      </w:pPr>
    </w:lvl>
  </w:abstractNum>
  <w:abstractNum w:abstractNumId="1" w15:restartNumberingAfterBreak="0">
    <w:nsid w:val="09C324AA"/>
    <w:multiLevelType w:val="hybridMultilevel"/>
    <w:tmpl w:val="795886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0327F2C"/>
    <w:multiLevelType w:val="hybridMultilevel"/>
    <w:tmpl w:val="E2905D80"/>
    <w:lvl w:ilvl="0" w:tplc="ABDC8370">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664C88"/>
    <w:multiLevelType w:val="hybridMultilevel"/>
    <w:tmpl w:val="9A948BE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A7D7464"/>
    <w:multiLevelType w:val="hybridMultilevel"/>
    <w:tmpl w:val="CD92EF6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DFA32CC"/>
    <w:multiLevelType w:val="hybridMultilevel"/>
    <w:tmpl w:val="F2A2EBA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0BA4120"/>
    <w:multiLevelType w:val="hybridMultilevel"/>
    <w:tmpl w:val="5DA61BA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5044DC2"/>
    <w:multiLevelType w:val="multilevel"/>
    <w:tmpl w:val="042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7216715"/>
    <w:multiLevelType w:val="hybridMultilevel"/>
    <w:tmpl w:val="BE38F7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8D24D96"/>
    <w:multiLevelType w:val="hybridMultilevel"/>
    <w:tmpl w:val="A8C29F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DB65B8A"/>
    <w:multiLevelType w:val="hybridMultilevel"/>
    <w:tmpl w:val="1B1AF6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DDF7898"/>
    <w:multiLevelType w:val="hybridMultilevel"/>
    <w:tmpl w:val="77D8FB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E5F3918"/>
    <w:multiLevelType w:val="hybridMultilevel"/>
    <w:tmpl w:val="186066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0F31739"/>
    <w:multiLevelType w:val="hybridMultilevel"/>
    <w:tmpl w:val="5B2AF0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25D4A60"/>
    <w:multiLevelType w:val="hybridMultilevel"/>
    <w:tmpl w:val="F3082A78"/>
    <w:lvl w:ilvl="0" w:tplc="04240019">
      <w:start w:val="1"/>
      <w:numFmt w:val="lowerLetter"/>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34764543"/>
    <w:multiLevelType w:val="hybridMultilevel"/>
    <w:tmpl w:val="97480AF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6A509A3"/>
    <w:multiLevelType w:val="hybridMultilevel"/>
    <w:tmpl w:val="B87E30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706174D"/>
    <w:multiLevelType w:val="hybridMultilevel"/>
    <w:tmpl w:val="3426F5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70F7933"/>
    <w:multiLevelType w:val="multilevel"/>
    <w:tmpl w:val="042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C070C99"/>
    <w:multiLevelType w:val="hybridMultilevel"/>
    <w:tmpl w:val="239EA6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D855808"/>
    <w:multiLevelType w:val="hybridMultilevel"/>
    <w:tmpl w:val="F8544E44"/>
    <w:lvl w:ilvl="0" w:tplc="E12E30D0">
      <w:start w:val="1"/>
      <w:numFmt w:val="bullet"/>
      <w:lvlText w:val=""/>
      <w:lvlJc w:val="left"/>
      <w:pPr>
        <w:tabs>
          <w:tab w:val="num" w:pos="720"/>
        </w:tabs>
        <w:ind w:left="720" w:hanging="360"/>
      </w:pPr>
      <w:rPr>
        <w:rFonts w:ascii="Wingdings" w:hAnsi="Wingdings" w:hint="default"/>
      </w:rPr>
    </w:lvl>
    <w:lvl w:ilvl="1" w:tplc="14E87318">
      <w:numFmt w:val="bullet"/>
      <w:lvlText w:val=""/>
      <w:lvlJc w:val="left"/>
      <w:pPr>
        <w:tabs>
          <w:tab w:val="num" w:pos="1440"/>
        </w:tabs>
        <w:ind w:left="1440" w:hanging="360"/>
      </w:pPr>
      <w:rPr>
        <w:rFonts w:ascii="Wingdings" w:hAnsi="Wingdings" w:hint="default"/>
      </w:rPr>
    </w:lvl>
    <w:lvl w:ilvl="2" w:tplc="D2106010" w:tentative="1">
      <w:start w:val="1"/>
      <w:numFmt w:val="bullet"/>
      <w:lvlText w:val=""/>
      <w:lvlJc w:val="left"/>
      <w:pPr>
        <w:tabs>
          <w:tab w:val="num" w:pos="2160"/>
        </w:tabs>
        <w:ind w:left="2160" w:hanging="360"/>
      </w:pPr>
      <w:rPr>
        <w:rFonts w:ascii="Wingdings" w:hAnsi="Wingdings" w:hint="default"/>
      </w:rPr>
    </w:lvl>
    <w:lvl w:ilvl="3" w:tplc="9F982018" w:tentative="1">
      <w:start w:val="1"/>
      <w:numFmt w:val="bullet"/>
      <w:lvlText w:val=""/>
      <w:lvlJc w:val="left"/>
      <w:pPr>
        <w:tabs>
          <w:tab w:val="num" w:pos="2880"/>
        </w:tabs>
        <w:ind w:left="2880" w:hanging="360"/>
      </w:pPr>
      <w:rPr>
        <w:rFonts w:ascii="Wingdings" w:hAnsi="Wingdings" w:hint="default"/>
      </w:rPr>
    </w:lvl>
    <w:lvl w:ilvl="4" w:tplc="88BAD812" w:tentative="1">
      <w:start w:val="1"/>
      <w:numFmt w:val="bullet"/>
      <w:lvlText w:val=""/>
      <w:lvlJc w:val="left"/>
      <w:pPr>
        <w:tabs>
          <w:tab w:val="num" w:pos="3600"/>
        </w:tabs>
        <w:ind w:left="3600" w:hanging="360"/>
      </w:pPr>
      <w:rPr>
        <w:rFonts w:ascii="Wingdings" w:hAnsi="Wingdings" w:hint="default"/>
      </w:rPr>
    </w:lvl>
    <w:lvl w:ilvl="5" w:tplc="CE3ECC08" w:tentative="1">
      <w:start w:val="1"/>
      <w:numFmt w:val="bullet"/>
      <w:lvlText w:val=""/>
      <w:lvlJc w:val="left"/>
      <w:pPr>
        <w:tabs>
          <w:tab w:val="num" w:pos="4320"/>
        </w:tabs>
        <w:ind w:left="4320" w:hanging="360"/>
      </w:pPr>
      <w:rPr>
        <w:rFonts w:ascii="Wingdings" w:hAnsi="Wingdings" w:hint="default"/>
      </w:rPr>
    </w:lvl>
    <w:lvl w:ilvl="6" w:tplc="D0781A82" w:tentative="1">
      <w:start w:val="1"/>
      <w:numFmt w:val="bullet"/>
      <w:lvlText w:val=""/>
      <w:lvlJc w:val="left"/>
      <w:pPr>
        <w:tabs>
          <w:tab w:val="num" w:pos="5040"/>
        </w:tabs>
        <w:ind w:left="5040" w:hanging="360"/>
      </w:pPr>
      <w:rPr>
        <w:rFonts w:ascii="Wingdings" w:hAnsi="Wingdings" w:hint="default"/>
      </w:rPr>
    </w:lvl>
    <w:lvl w:ilvl="7" w:tplc="3E44446C" w:tentative="1">
      <w:start w:val="1"/>
      <w:numFmt w:val="bullet"/>
      <w:lvlText w:val=""/>
      <w:lvlJc w:val="left"/>
      <w:pPr>
        <w:tabs>
          <w:tab w:val="num" w:pos="5760"/>
        </w:tabs>
        <w:ind w:left="5760" w:hanging="360"/>
      </w:pPr>
      <w:rPr>
        <w:rFonts w:ascii="Wingdings" w:hAnsi="Wingdings" w:hint="default"/>
      </w:rPr>
    </w:lvl>
    <w:lvl w:ilvl="8" w:tplc="2F321A6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FA31601"/>
    <w:multiLevelType w:val="hybridMultilevel"/>
    <w:tmpl w:val="A058F116"/>
    <w:lvl w:ilvl="0" w:tplc="60C611AE">
      <w:start w:val="1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2323AF2"/>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8147C55"/>
    <w:multiLevelType w:val="hybridMultilevel"/>
    <w:tmpl w:val="1458DAFA"/>
    <w:lvl w:ilvl="0" w:tplc="5BDA4C1C">
      <w:start w:val="1"/>
      <w:numFmt w:val="decimal"/>
      <w:lvlText w:val="%1."/>
      <w:lvlJc w:val="left"/>
      <w:pPr>
        <w:ind w:left="720" w:hanging="360"/>
      </w:pPr>
      <w:rPr>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4DCD0826"/>
    <w:multiLevelType w:val="hybridMultilevel"/>
    <w:tmpl w:val="9F4E0E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DD56E2B"/>
    <w:multiLevelType w:val="hybridMultilevel"/>
    <w:tmpl w:val="77FEBE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1875500"/>
    <w:multiLevelType w:val="multilevel"/>
    <w:tmpl w:val="0424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7" w15:restartNumberingAfterBreak="0">
    <w:nsid w:val="6C94272E"/>
    <w:multiLevelType w:val="hybridMultilevel"/>
    <w:tmpl w:val="8BDA8B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F5649A1"/>
    <w:multiLevelType w:val="hybridMultilevel"/>
    <w:tmpl w:val="C132214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23"/>
  </w:num>
  <w:num w:numId="4">
    <w:abstractNumId w:val="23"/>
  </w:num>
  <w:num w:numId="5">
    <w:abstractNumId w:val="23"/>
  </w:num>
  <w:num w:numId="6">
    <w:abstractNumId w:val="23"/>
  </w:num>
  <w:num w:numId="7">
    <w:abstractNumId w:val="23"/>
  </w:num>
  <w:num w:numId="8">
    <w:abstractNumId w:val="23"/>
  </w:num>
  <w:num w:numId="9">
    <w:abstractNumId w:val="23"/>
  </w:num>
  <w:num w:numId="10">
    <w:abstractNumId w:val="23"/>
  </w:num>
  <w:num w:numId="11">
    <w:abstractNumId w:val="23"/>
  </w:num>
  <w:num w:numId="12">
    <w:abstractNumId w:val="23"/>
  </w:num>
  <w:num w:numId="13">
    <w:abstractNumId w:val="23"/>
  </w:num>
  <w:num w:numId="14">
    <w:abstractNumId w:val="28"/>
  </w:num>
  <w:num w:numId="15">
    <w:abstractNumId w:val="4"/>
  </w:num>
  <w:num w:numId="16">
    <w:abstractNumId w:val="7"/>
  </w:num>
  <w:num w:numId="17">
    <w:abstractNumId w:val="22"/>
  </w:num>
  <w:num w:numId="18">
    <w:abstractNumId w:val="14"/>
  </w:num>
  <w:num w:numId="19">
    <w:abstractNumId w:val="18"/>
  </w:num>
  <w:num w:numId="20">
    <w:abstractNumId w:val="26"/>
  </w:num>
  <w:num w:numId="21">
    <w:abstractNumId w:val="2"/>
  </w:num>
  <w:num w:numId="22">
    <w:abstractNumId w:val="11"/>
  </w:num>
  <w:num w:numId="23">
    <w:abstractNumId w:val="5"/>
  </w:num>
  <w:num w:numId="24">
    <w:abstractNumId w:val="8"/>
  </w:num>
  <w:num w:numId="25">
    <w:abstractNumId w:val="27"/>
  </w:num>
  <w:num w:numId="26">
    <w:abstractNumId w:val="24"/>
  </w:num>
  <w:num w:numId="27">
    <w:abstractNumId w:val="20"/>
  </w:num>
  <w:num w:numId="28">
    <w:abstractNumId w:val="19"/>
  </w:num>
  <w:num w:numId="29">
    <w:abstractNumId w:val="13"/>
  </w:num>
  <w:num w:numId="30">
    <w:abstractNumId w:val="10"/>
  </w:num>
  <w:num w:numId="31">
    <w:abstractNumId w:val="16"/>
  </w:num>
  <w:num w:numId="32">
    <w:abstractNumId w:val="12"/>
  </w:num>
  <w:num w:numId="33">
    <w:abstractNumId w:val="3"/>
  </w:num>
  <w:num w:numId="34">
    <w:abstractNumId w:val="17"/>
  </w:num>
  <w:num w:numId="35">
    <w:abstractNumId w:val="6"/>
  </w:num>
  <w:num w:numId="36">
    <w:abstractNumId w:val="25"/>
  </w:num>
  <w:num w:numId="37">
    <w:abstractNumId w:val="1"/>
  </w:num>
  <w:num w:numId="38">
    <w:abstractNumId w:val="15"/>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06A94"/>
    <w:rsid w:val="00004F9F"/>
    <w:rsid w:val="00014EF9"/>
    <w:rsid w:val="0001714E"/>
    <w:rsid w:val="000220C1"/>
    <w:rsid w:val="00032917"/>
    <w:rsid w:val="0007211C"/>
    <w:rsid w:val="00072567"/>
    <w:rsid w:val="0008692A"/>
    <w:rsid w:val="000A34E4"/>
    <w:rsid w:val="000B6825"/>
    <w:rsid w:val="000F1523"/>
    <w:rsid w:val="000F785C"/>
    <w:rsid w:val="00146D2E"/>
    <w:rsid w:val="0016207F"/>
    <w:rsid w:val="0016328B"/>
    <w:rsid w:val="00163E1D"/>
    <w:rsid w:val="001A2F4C"/>
    <w:rsid w:val="001B048E"/>
    <w:rsid w:val="001B37CF"/>
    <w:rsid w:val="001C3825"/>
    <w:rsid w:val="001C5BEA"/>
    <w:rsid w:val="001C6A81"/>
    <w:rsid w:val="001F36F8"/>
    <w:rsid w:val="001F5B0D"/>
    <w:rsid w:val="002009C4"/>
    <w:rsid w:val="0021460E"/>
    <w:rsid w:val="00236F8F"/>
    <w:rsid w:val="00245468"/>
    <w:rsid w:val="00257FCA"/>
    <w:rsid w:val="00261A8E"/>
    <w:rsid w:val="00271541"/>
    <w:rsid w:val="00293AA4"/>
    <w:rsid w:val="002E57B7"/>
    <w:rsid w:val="002E5EF0"/>
    <w:rsid w:val="002F27BB"/>
    <w:rsid w:val="002F7036"/>
    <w:rsid w:val="00307ECA"/>
    <w:rsid w:val="00347887"/>
    <w:rsid w:val="00365DDE"/>
    <w:rsid w:val="003950E4"/>
    <w:rsid w:val="003B047C"/>
    <w:rsid w:val="00400CB2"/>
    <w:rsid w:val="00433805"/>
    <w:rsid w:val="004435F3"/>
    <w:rsid w:val="00457B0D"/>
    <w:rsid w:val="00457DA1"/>
    <w:rsid w:val="004619A9"/>
    <w:rsid w:val="00482322"/>
    <w:rsid w:val="004A2A46"/>
    <w:rsid w:val="004C5BBD"/>
    <w:rsid w:val="005064C2"/>
    <w:rsid w:val="00531A80"/>
    <w:rsid w:val="005322C8"/>
    <w:rsid w:val="00536CB0"/>
    <w:rsid w:val="0056272A"/>
    <w:rsid w:val="00587793"/>
    <w:rsid w:val="005940B8"/>
    <w:rsid w:val="00597EE3"/>
    <w:rsid w:val="005F351B"/>
    <w:rsid w:val="005F43E7"/>
    <w:rsid w:val="00603B94"/>
    <w:rsid w:val="00606228"/>
    <w:rsid w:val="006162DA"/>
    <w:rsid w:val="00625A5E"/>
    <w:rsid w:val="0063435B"/>
    <w:rsid w:val="00635242"/>
    <w:rsid w:val="0063685B"/>
    <w:rsid w:val="0066490E"/>
    <w:rsid w:val="0067190D"/>
    <w:rsid w:val="00677458"/>
    <w:rsid w:val="006A28BA"/>
    <w:rsid w:val="006A547F"/>
    <w:rsid w:val="006A7A2B"/>
    <w:rsid w:val="006B035C"/>
    <w:rsid w:val="006B1D28"/>
    <w:rsid w:val="006B5E79"/>
    <w:rsid w:val="006C6539"/>
    <w:rsid w:val="006D02D3"/>
    <w:rsid w:val="006D1785"/>
    <w:rsid w:val="00706A94"/>
    <w:rsid w:val="0073142D"/>
    <w:rsid w:val="0075028A"/>
    <w:rsid w:val="00752095"/>
    <w:rsid w:val="00754B8B"/>
    <w:rsid w:val="00791F2A"/>
    <w:rsid w:val="007A5357"/>
    <w:rsid w:val="007B6E07"/>
    <w:rsid w:val="007C242A"/>
    <w:rsid w:val="007E3270"/>
    <w:rsid w:val="007E420F"/>
    <w:rsid w:val="00816895"/>
    <w:rsid w:val="00825D6B"/>
    <w:rsid w:val="008551E0"/>
    <w:rsid w:val="00873B37"/>
    <w:rsid w:val="008820C0"/>
    <w:rsid w:val="008B659F"/>
    <w:rsid w:val="008C1F0D"/>
    <w:rsid w:val="008F6E0B"/>
    <w:rsid w:val="009235CD"/>
    <w:rsid w:val="0093241E"/>
    <w:rsid w:val="00944635"/>
    <w:rsid w:val="00A06C73"/>
    <w:rsid w:val="00A21D94"/>
    <w:rsid w:val="00A229C4"/>
    <w:rsid w:val="00A233F3"/>
    <w:rsid w:val="00A27E4C"/>
    <w:rsid w:val="00A3750A"/>
    <w:rsid w:val="00A638EA"/>
    <w:rsid w:val="00A74537"/>
    <w:rsid w:val="00A8044F"/>
    <w:rsid w:val="00A8586B"/>
    <w:rsid w:val="00AB51F6"/>
    <w:rsid w:val="00AB7597"/>
    <w:rsid w:val="00AE6418"/>
    <w:rsid w:val="00AF5986"/>
    <w:rsid w:val="00B20C3F"/>
    <w:rsid w:val="00B36A31"/>
    <w:rsid w:val="00B37458"/>
    <w:rsid w:val="00B47ECC"/>
    <w:rsid w:val="00B63795"/>
    <w:rsid w:val="00B657AE"/>
    <w:rsid w:val="00B65A46"/>
    <w:rsid w:val="00B87457"/>
    <w:rsid w:val="00B92BBE"/>
    <w:rsid w:val="00BA5BFC"/>
    <w:rsid w:val="00BC44F5"/>
    <w:rsid w:val="00BD0BAB"/>
    <w:rsid w:val="00C1212F"/>
    <w:rsid w:val="00C35D76"/>
    <w:rsid w:val="00C537D4"/>
    <w:rsid w:val="00C60F36"/>
    <w:rsid w:val="00CA3DF5"/>
    <w:rsid w:val="00CD6655"/>
    <w:rsid w:val="00CD7AD2"/>
    <w:rsid w:val="00CE4C02"/>
    <w:rsid w:val="00CF65D6"/>
    <w:rsid w:val="00D43A83"/>
    <w:rsid w:val="00D5608E"/>
    <w:rsid w:val="00D81AA6"/>
    <w:rsid w:val="00D85E86"/>
    <w:rsid w:val="00DA5A0B"/>
    <w:rsid w:val="00DD0C67"/>
    <w:rsid w:val="00DE3BCC"/>
    <w:rsid w:val="00DF7503"/>
    <w:rsid w:val="00E4733E"/>
    <w:rsid w:val="00EE7864"/>
    <w:rsid w:val="00F01D92"/>
    <w:rsid w:val="00F05729"/>
    <w:rsid w:val="00F115CD"/>
    <w:rsid w:val="00F126FF"/>
    <w:rsid w:val="00F25FE2"/>
    <w:rsid w:val="00F40B49"/>
    <w:rsid w:val="00F4144B"/>
    <w:rsid w:val="00F6350F"/>
    <w:rsid w:val="00F85C24"/>
    <w:rsid w:val="00F96054"/>
    <w:rsid w:val="00FA1687"/>
    <w:rsid w:val="00FC4421"/>
    <w:rsid w:val="00FD2ED2"/>
    <w:rsid w:val="00FD55B9"/>
    <w:rsid w:val="00FD580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2009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009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E786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E3270"/>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Strong">
    <w:name w:val="Strong"/>
    <w:basedOn w:val="DefaultParagraphFont"/>
    <w:uiPriority w:val="22"/>
    <w:qFormat/>
    <w:rsid w:val="007E3270"/>
    <w:rPr>
      <w:b/>
      <w:bCs/>
    </w:rPr>
  </w:style>
  <w:style w:type="paragraph" w:customStyle="1" w:styleId="Prvinaslov">
    <w:name w:val="Prvi naslov"/>
    <w:basedOn w:val="Heading1"/>
    <w:next w:val="Normal"/>
    <w:link w:val="PrvinaslovChar"/>
    <w:autoRedefine/>
    <w:qFormat/>
    <w:rsid w:val="001F36F8"/>
    <w:pPr>
      <w:pBdr>
        <w:bottom w:val="single" w:sz="8" w:space="1" w:color="17365D" w:themeColor="text2" w:themeShade="BF"/>
      </w:pBdr>
      <w:spacing w:line="240" w:lineRule="auto"/>
      <w:jc w:val="center"/>
    </w:pPr>
    <w:rPr>
      <w:rFonts w:asciiTheme="minorHAnsi" w:hAnsiTheme="minorHAnsi"/>
      <w:sz w:val="44"/>
      <w:lang w:val="sl-SI"/>
    </w:rPr>
  </w:style>
  <w:style w:type="character" w:styleId="Emphasis">
    <w:name w:val="Emphasis"/>
    <w:basedOn w:val="DefaultParagraphFont"/>
    <w:uiPriority w:val="20"/>
    <w:qFormat/>
    <w:rsid w:val="007E3270"/>
    <w:rPr>
      <w:i/>
      <w:iCs/>
    </w:rPr>
  </w:style>
  <w:style w:type="paragraph" w:styleId="ListParagraph">
    <w:name w:val="List Paragraph"/>
    <w:basedOn w:val="Normal"/>
    <w:uiPriority w:val="34"/>
    <w:qFormat/>
    <w:rsid w:val="002E5EF0"/>
    <w:pPr>
      <w:ind w:left="720"/>
      <w:contextualSpacing/>
    </w:pPr>
  </w:style>
  <w:style w:type="paragraph" w:styleId="ListNumber">
    <w:name w:val="List Number"/>
    <w:basedOn w:val="Normal"/>
    <w:uiPriority w:val="99"/>
    <w:unhideWhenUsed/>
    <w:rsid w:val="005F351B"/>
    <w:pPr>
      <w:numPr>
        <w:numId w:val="2"/>
      </w:numPr>
      <w:contextualSpacing/>
    </w:pPr>
  </w:style>
  <w:style w:type="paragraph" w:styleId="BalloonText">
    <w:name w:val="Balloon Text"/>
    <w:basedOn w:val="Normal"/>
    <w:link w:val="BalloonTextChar"/>
    <w:uiPriority w:val="99"/>
    <w:semiHidden/>
    <w:unhideWhenUsed/>
    <w:rsid w:val="00FC44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4421"/>
    <w:rPr>
      <w:rFonts w:ascii="Tahoma" w:hAnsi="Tahoma" w:cs="Tahoma"/>
      <w:sz w:val="16"/>
      <w:szCs w:val="16"/>
      <w:lang w:val="en-GB"/>
    </w:rPr>
  </w:style>
  <w:style w:type="paragraph" w:styleId="FootnoteText">
    <w:name w:val="footnote text"/>
    <w:basedOn w:val="Normal"/>
    <w:link w:val="FootnoteTextChar"/>
    <w:uiPriority w:val="99"/>
    <w:semiHidden/>
    <w:unhideWhenUsed/>
    <w:rsid w:val="00FC442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4421"/>
    <w:rPr>
      <w:sz w:val="20"/>
      <w:szCs w:val="20"/>
      <w:lang w:val="en-GB"/>
    </w:rPr>
  </w:style>
  <w:style w:type="character" w:styleId="FootnoteReference">
    <w:name w:val="footnote reference"/>
    <w:basedOn w:val="DefaultParagraphFont"/>
    <w:uiPriority w:val="99"/>
    <w:semiHidden/>
    <w:unhideWhenUsed/>
    <w:rsid w:val="00FC4421"/>
    <w:rPr>
      <w:vertAlign w:val="superscript"/>
    </w:rPr>
  </w:style>
  <w:style w:type="paragraph" w:styleId="Header">
    <w:name w:val="header"/>
    <w:basedOn w:val="Normal"/>
    <w:link w:val="HeaderChar"/>
    <w:uiPriority w:val="99"/>
    <w:unhideWhenUsed/>
    <w:rsid w:val="007B6E07"/>
    <w:pPr>
      <w:tabs>
        <w:tab w:val="center" w:pos="4536"/>
        <w:tab w:val="right" w:pos="9072"/>
      </w:tabs>
      <w:spacing w:after="0" w:line="240" w:lineRule="auto"/>
    </w:pPr>
  </w:style>
  <w:style w:type="character" w:customStyle="1" w:styleId="HeaderChar">
    <w:name w:val="Header Char"/>
    <w:basedOn w:val="DefaultParagraphFont"/>
    <w:link w:val="Header"/>
    <w:uiPriority w:val="99"/>
    <w:rsid w:val="007B6E07"/>
    <w:rPr>
      <w:lang w:val="en-GB"/>
    </w:rPr>
  </w:style>
  <w:style w:type="paragraph" w:styleId="Footer">
    <w:name w:val="footer"/>
    <w:basedOn w:val="Normal"/>
    <w:link w:val="FooterChar"/>
    <w:uiPriority w:val="99"/>
    <w:unhideWhenUsed/>
    <w:rsid w:val="007B6E07"/>
    <w:pPr>
      <w:tabs>
        <w:tab w:val="center" w:pos="4536"/>
        <w:tab w:val="right" w:pos="9072"/>
      </w:tabs>
      <w:spacing w:after="0" w:line="240" w:lineRule="auto"/>
    </w:pPr>
  </w:style>
  <w:style w:type="character" w:customStyle="1" w:styleId="FooterChar">
    <w:name w:val="Footer Char"/>
    <w:basedOn w:val="DefaultParagraphFont"/>
    <w:link w:val="Footer"/>
    <w:uiPriority w:val="99"/>
    <w:rsid w:val="007B6E07"/>
    <w:rPr>
      <w:lang w:val="en-GB"/>
    </w:rPr>
  </w:style>
  <w:style w:type="paragraph" w:styleId="Caption">
    <w:name w:val="caption"/>
    <w:basedOn w:val="Normal"/>
    <w:next w:val="Normal"/>
    <w:uiPriority w:val="35"/>
    <w:unhideWhenUsed/>
    <w:qFormat/>
    <w:rsid w:val="00DD0C67"/>
    <w:pPr>
      <w:spacing w:line="240" w:lineRule="auto"/>
    </w:pPr>
    <w:rPr>
      <w:b/>
      <w:bCs/>
      <w:color w:val="4F81BD" w:themeColor="accent1"/>
      <w:sz w:val="18"/>
      <w:szCs w:val="18"/>
    </w:rPr>
  </w:style>
  <w:style w:type="character" w:styleId="Hyperlink">
    <w:name w:val="Hyperlink"/>
    <w:basedOn w:val="DefaultParagraphFont"/>
    <w:uiPriority w:val="99"/>
    <w:unhideWhenUsed/>
    <w:rsid w:val="00146D2E"/>
    <w:rPr>
      <w:color w:val="0000FF" w:themeColor="hyperlink"/>
      <w:u w:val="single"/>
    </w:rPr>
  </w:style>
  <w:style w:type="table" w:styleId="TableGrid">
    <w:name w:val="Table Grid"/>
    <w:basedOn w:val="TableNormal"/>
    <w:uiPriority w:val="59"/>
    <w:rsid w:val="00146D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5">
    <w:name w:val="Colorful List Accent 5"/>
    <w:basedOn w:val="TableNormal"/>
    <w:uiPriority w:val="72"/>
    <w:rsid w:val="00032917"/>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character" w:styleId="FollowedHyperlink">
    <w:name w:val="FollowedHyperlink"/>
    <w:basedOn w:val="DefaultParagraphFont"/>
    <w:uiPriority w:val="99"/>
    <w:semiHidden/>
    <w:unhideWhenUsed/>
    <w:rsid w:val="00FA1687"/>
    <w:rPr>
      <w:color w:val="800080"/>
      <w:u w:val="single"/>
    </w:rPr>
  </w:style>
  <w:style w:type="paragraph" w:styleId="TOC4">
    <w:name w:val="toc 4"/>
    <w:basedOn w:val="Normal"/>
    <w:next w:val="Normal"/>
    <w:autoRedefine/>
    <w:uiPriority w:val="39"/>
    <w:unhideWhenUsed/>
    <w:rsid w:val="00C537D4"/>
    <w:pPr>
      <w:spacing w:after="0"/>
      <w:ind w:left="660"/>
    </w:pPr>
    <w:rPr>
      <w:sz w:val="20"/>
      <w:szCs w:val="20"/>
    </w:rPr>
  </w:style>
  <w:style w:type="character" w:customStyle="1" w:styleId="PrvinaslovChar">
    <w:name w:val="Prvi naslov Char"/>
    <w:basedOn w:val="DefaultParagraphFont"/>
    <w:link w:val="Prvinaslov"/>
    <w:rsid w:val="001F36F8"/>
    <w:rPr>
      <w:rFonts w:eastAsiaTheme="majorEastAsia" w:cstheme="majorBidi"/>
      <w:b/>
      <w:bCs/>
      <w:color w:val="365F91" w:themeColor="accent1" w:themeShade="BF"/>
      <w:sz w:val="44"/>
      <w:szCs w:val="28"/>
    </w:rPr>
  </w:style>
  <w:style w:type="character" w:styleId="CommentReference">
    <w:name w:val="annotation reference"/>
    <w:basedOn w:val="DefaultParagraphFont"/>
    <w:uiPriority w:val="99"/>
    <w:semiHidden/>
    <w:unhideWhenUsed/>
    <w:rsid w:val="007A5357"/>
    <w:rPr>
      <w:sz w:val="16"/>
      <w:szCs w:val="16"/>
    </w:rPr>
  </w:style>
  <w:style w:type="paragraph" w:styleId="CommentText">
    <w:name w:val="annotation text"/>
    <w:basedOn w:val="Normal"/>
    <w:link w:val="CommentTextChar"/>
    <w:uiPriority w:val="99"/>
    <w:semiHidden/>
    <w:unhideWhenUsed/>
    <w:rsid w:val="007A5357"/>
    <w:pPr>
      <w:spacing w:line="240" w:lineRule="auto"/>
    </w:pPr>
    <w:rPr>
      <w:sz w:val="20"/>
      <w:szCs w:val="20"/>
    </w:rPr>
  </w:style>
  <w:style w:type="character" w:customStyle="1" w:styleId="CommentTextChar">
    <w:name w:val="Comment Text Char"/>
    <w:basedOn w:val="DefaultParagraphFont"/>
    <w:link w:val="CommentText"/>
    <w:uiPriority w:val="99"/>
    <w:semiHidden/>
    <w:rsid w:val="007A5357"/>
    <w:rPr>
      <w:sz w:val="20"/>
      <w:szCs w:val="20"/>
      <w:lang w:val="en-GB"/>
    </w:rPr>
  </w:style>
  <w:style w:type="paragraph" w:styleId="CommentSubject">
    <w:name w:val="annotation subject"/>
    <w:basedOn w:val="CommentText"/>
    <w:next w:val="CommentText"/>
    <w:link w:val="CommentSubjectChar"/>
    <w:uiPriority w:val="99"/>
    <w:semiHidden/>
    <w:unhideWhenUsed/>
    <w:rsid w:val="007A5357"/>
    <w:rPr>
      <w:b/>
      <w:bCs/>
    </w:rPr>
  </w:style>
  <w:style w:type="character" w:customStyle="1" w:styleId="CommentSubjectChar">
    <w:name w:val="Comment Subject Char"/>
    <w:basedOn w:val="CommentTextChar"/>
    <w:link w:val="CommentSubject"/>
    <w:uiPriority w:val="99"/>
    <w:semiHidden/>
    <w:rsid w:val="007A5357"/>
    <w:rPr>
      <w:b/>
      <w:bCs/>
      <w:sz w:val="20"/>
      <w:szCs w:val="20"/>
      <w:lang w:val="en-GB"/>
    </w:rPr>
  </w:style>
  <w:style w:type="paragraph" w:styleId="Revision">
    <w:name w:val="Revision"/>
    <w:hidden/>
    <w:uiPriority w:val="99"/>
    <w:semiHidden/>
    <w:rsid w:val="007A5357"/>
    <w:pPr>
      <w:spacing w:after="0" w:line="240" w:lineRule="auto"/>
    </w:pPr>
    <w:rPr>
      <w:lang w:val="en-GB"/>
    </w:rPr>
  </w:style>
  <w:style w:type="paragraph" w:styleId="TOC5">
    <w:name w:val="toc 5"/>
    <w:basedOn w:val="Normal"/>
    <w:next w:val="Normal"/>
    <w:autoRedefine/>
    <w:uiPriority w:val="39"/>
    <w:unhideWhenUsed/>
    <w:rsid w:val="00C537D4"/>
    <w:pPr>
      <w:spacing w:after="0"/>
      <w:ind w:left="880"/>
    </w:pPr>
    <w:rPr>
      <w:sz w:val="20"/>
      <w:szCs w:val="20"/>
    </w:rPr>
  </w:style>
  <w:style w:type="character" w:customStyle="1" w:styleId="Heading1Char">
    <w:name w:val="Heading 1 Char"/>
    <w:basedOn w:val="DefaultParagraphFont"/>
    <w:link w:val="Heading1"/>
    <w:uiPriority w:val="9"/>
    <w:rsid w:val="002009C4"/>
    <w:rPr>
      <w:rFonts w:asciiTheme="majorHAnsi" w:eastAsiaTheme="majorEastAsia" w:hAnsiTheme="majorHAnsi" w:cstheme="majorBidi"/>
      <w:b/>
      <w:bCs/>
      <w:color w:val="365F91" w:themeColor="accent1" w:themeShade="BF"/>
      <w:sz w:val="28"/>
      <w:szCs w:val="28"/>
      <w:lang w:val="en-GB"/>
    </w:rPr>
  </w:style>
  <w:style w:type="paragraph" w:styleId="TOCHeading">
    <w:name w:val="TOC Heading"/>
    <w:basedOn w:val="Heading1"/>
    <w:next w:val="Normal"/>
    <w:uiPriority w:val="39"/>
    <w:semiHidden/>
    <w:unhideWhenUsed/>
    <w:qFormat/>
    <w:rsid w:val="002009C4"/>
    <w:pPr>
      <w:outlineLvl w:val="9"/>
    </w:pPr>
    <w:rPr>
      <w:lang w:val="sl-SI" w:eastAsia="sl-SI"/>
    </w:rPr>
  </w:style>
  <w:style w:type="paragraph" w:styleId="TOC2">
    <w:name w:val="toc 2"/>
    <w:basedOn w:val="Normal"/>
    <w:next w:val="Normal"/>
    <w:autoRedefine/>
    <w:uiPriority w:val="39"/>
    <w:unhideWhenUsed/>
    <w:qFormat/>
    <w:rsid w:val="002009C4"/>
    <w:pPr>
      <w:spacing w:before="120" w:after="0"/>
      <w:ind w:left="220"/>
    </w:pPr>
    <w:rPr>
      <w:b/>
      <w:bCs/>
    </w:rPr>
  </w:style>
  <w:style w:type="paragraph" w:styleId="TOC1">
    <w:name w:val="toc 1"/>
    <w:basedOn w:val="Normal"/>
    <w:next w:val="Normal"/>
    <w:autoRedefine/>
    <w:uiPriority w:val="39"/>
    <w:unhideWhenUsed/>
    <w:qFormat/>
    <w:rsid w:val="002009C4"/>
    <w:pPr>
      <w:spacing w:before="120" w:after="0"/>
    </w:pPr>
    <w:rPr>
      <w:b/>
      <w:bCs/>
      <w:i/>
      <w:iCs/>
      <w:sz w:val="24"/>
      <w:szCs w:val="24"/>
    </w:rPr>
  </w:style>
  <w:style w:type="paragraph" w:styleId="TOC3">
    <w:name w:val="toc 3"/>
    <w:basedOn w:val="Normal"/>
    <w:next w:val="Normal"/>
    <w:autoRedefine/>
    <w:uiPriority w:val="39"/>
    <w:unhideWhenUsed/>
    <w:qFormat/>
    <w:rsid w:val="002009C4"/>
    <w:pPr>
      <w:spacing w:after="0"/>
      <w:ind w:left="440"/>
    </w:pPr>
    <w:rPr>
      <w:sz w:val="20"/>
      <w:szCs w:val="20"/>
    </w:rPr>
  </w:style>
  <w:style w:type="character" w:customStyle="1" w:styleId="Heading2Char">
    <w:name w:val="Heading 2 Char"/>
    <w:basedOn w:val="DefaultParagraphFont"/>
    <w:link w:val="Heading2"/>
    <w:uiPriority w:val="9"/>
    <w:rsid w:val="002009C4"/>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EE7864"/>
    <w:rPr>
      <w:rFonts w:asciiTheme="majorHAnsi" w:eastAsiaTheme="majorEastAsia" w:hAnsiTheme="majorHAnsi" w:cstheme="majorBidi"/>
      <w:b/>
      <w:bCs/>
      <w:color w:val="4F81BD" w:themeColor="accent1"/>
      <w:lang w:val="en-GB"/>
    </w:rPr>
  </w:style>
  <w:style w:type="paragraph" w:styleId="TOC6">
    <w:name w:val="toc 6"/>
    <w:basedOn w:val="Normal"/>
    <w:next w:val="Normal"/>
    <w:autoRedefine/>
    <w:uiPriority w:val="39"/>
    <w:unhideWhenUsed/>
    <w:rsid w:val="00C537D4"/>
    <w:pPr>
      <w:spacing w:after="0"/>
      <w:ind w:left="1100"/>
    </w:pPr>
    <w:rPr>
      <w:sz w:val="20"/>
      <w:szCs w:val="20"/>
    </w:rPr>
  </w:style>
  <w:style w:type="paragraph" w:styleId="TOC7">
    <w:name w:val="toc 7"/>
    <w:basedOn w:val="Normal"/>
    <w:next w:val="Normal"/>
    <w:autoRedefine/>
    <w:uiPriority w:val="39"/>
    <w:unhideWhenUsed/>
    <w:rsid w:val="00C537D4"/>
    <w:pPr>
      <w:spacing w:after="0"/>
      <w:ind w:left="1320"/>
    </w:pPr>
    <w:rPr>
      <w:sz w:val="20"/>
      <w:szCs w:val="20"/>
    </w:rPr>
  </w:style>
  <w:style w:type="paragraph" w:styleId="TOC8">
    <w:name w:val="toc 8"/>
    <w:basedOn w:val="Normal"/>
    <w:next w:val="Normal"/>
    <w:autoRedefine/>
    <w:uiPriority w:val="39"/>
    <w:unhideWhenUsed/>
    <w:rsid w:val="00C537D4"/>
    <w:pPr>
      <w:spacing w:after="0"/>
      <w:ind w:left="1540"/>
    </w:pPr>
    <w:rPr>
      <w:sz w:val="20"/>
      <w:szCs w:val="20"/>
    </w:rPr>
  </w:style>
  <w:style w:type="paragraph" w:styleId="TOC9">
    <w:name w:val="toc 9"/>
    <w:basedOn w:val="Normal"/>
    <w:next w:val="Normal"/>
    <w:autoRedefine/>
    <w:uiPriority w:val="39"/>
    <w:unhideWhenUsed/>
    <w:rsid w:val="00C537D4"/>
    <w:pPr>
      <w:spacing w:after="0"/>
      <w:ind w:left="1760"/>
    </w:pPr>
    <w:rPr>
      <w:sz w:val="20"/>
      <w:szCs w:val="20"/>
    </w:rPr>
  </w:style>
  <w:style w:type="paragraph" w:customStyle="1" w:styleId="Druginaslov">
    <w:name w:val="Drugi naslov"/>
    <w:basedOn w:val="Heading2"/>
    <w:next w:val="Normal"/>
    <w:link w:val="DruginaslovChar"/>
    <w:autoRedefine/>
    <w:qFormat/>
    <w:rsid w:val="001C5BEA"/>
    <w:rPr>
      <w:rFonts w:asciiTheme="minorHAnsi" w:hAnsiTheme="minorHAnsi"/>
      <w:color w:val="404040" w:themeColor="text1" w:themeTint="BF"/>
      <w:sz w:val="24"/>
      <w:lang w:val="sl-SI"/>
    </w:rPr>
  </w:style>
  <w:style w:type="paragraph" w:customStyle="1" w:styleId="Tretjinaslov">
    <w:name w:val="Tretji naslov"/>
    <w:basedOn w:val="Heading3"/>
    <w:next w:val="Normal"/>
    <w:link w:val="TretjinaslovChar"/>
    <w:autoRedefine/>
    <w:qFormat/>
    <w:rsid w:val="00A3750A"/>
    <w:pPr>
      <w:ind w:left="709"/>
    </w:pPr>
    <w:rPr>
      <w:rFonts w:asciiTheme="minorHAnsi" w:hAnsiTheme="minorHAnsi"/>
      <w:i/>
      <w:color w:val="595959" w:themeColor="text1" w:themeTint="A6"/>
      <w:lang w:val="sl-SI"/>
    </w:rPr>
  </w:style>
  <w:style w:type="character" w:customStyle="1" w:styleId="DruginaslovChar">
    <w:name w:val="Drugi naslov Char"/>
    <w:basedOn w:val="Heading2Char"/>
    <w:link w:val="Druginaslov"/>
    <w:rsid w:val="001C5BEA"/>
    <w:rPr>
      <w:rFonts w:asciiTheme="majorHAnsi" w:eastAsiaTheme="majorEastAsia" w:hAnsiTheme="majorHAnsi" w:cstheme="majorBidi"/>
      <w:b/>
      <w:bCs/>
      <w:color w:val="404040" w:themeColor="text1" w:themeTint="BF"/>
      <w:sz w:val="24"/>
      <w:szCs w:val="26"/>
      <w:lang w:val="en-GB"/>
    </w:rPr>
  </w:style>
  <w:style w:type="paragraph" w:customStyle="1" w:styleId="Naslovnaloge">
    <w:name w:val="Naslov naloge"/>
    <w:basedOn w:val="Title"/>
    <w:next w:val="Normal"/>
    <w:autoRedefine/>
    <w:qFormat/>
    <w:rsid w:val="001F36F8"/>
    <w:pPr>
      <w:jc w:val="center"/>
    </w:pPr>
    <w:rPr>
      <w:rFonts w:asciiTheme="minorHAnsi" w:hAnsiTheme="minorHAnsi"/>
      <w:color w:val="365F91" w:themeColor="accent1" w:themeShade="BF"/>
      <w:sz w:val="80"/>
      <w:szCs w:val="80"/>
      <w:lang w:val="sl-SI"/>
    </w:rPr>
  </w:style>
  <w:style w:type="character" w:customStyle="1" w:styleId="TretjinaslovChar">
    <w:name w:val="Tretji naslov Char"/>
    <w:basedOn w:val="Heading3Char"/>
    <w:link w:val="Tretjinaslov"/>
    <w:rsid w:val="00A3750A"/>
    <w:rPr>
      <w:rFonts w:asciiTheme="majorHAnsi" w:eastAsiaTheme="majorEastAsia" w:hAnsiTheme="majorHAnsi" w:cstheme="majorBidi"/>
      <w:b/>
      <w:bCs/>
      <w:i/>
      <w:color w:val="595959" w:themeColor="text1" w:themeTint="A6"/>
      <w:lang w:val="en-GB"/>
    </w:rPr>
  </w:style>
  <w:style w:type="paragraph" w:styleId="Title">
    <w:name w:val="Title"/>
    <w:basedOn w:val="Normal"/>
    <w:next w:val="Normal"/>
    <w:link w:val="TitleChar"/>
    <w:uiPriority w:val="10"/>
    <w:qFormat/>
    <w:rsid w:val="00A375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3750A"/>
    <w:rPr>
      <w:rFonts w:asciiTheme="majorHAnsi" w:eastAsiaTheme="majorEastAsia" w:hAnsiTheme="majorHAnsi" w:cstheme="majorBidi"/>
      <w:color w:val="17365D" w:themeColor="text2" w:themeShade="BF"/>
      <w:spacing w:val="5"/>
      <w:kern w:val="28"/>
      <w:sz w:val="52"/>
      <w:szCs w:val="52"/>
      <w:lang w:val="en-GB"/>
    </w:rPr>
  </w:style>
  <w:style w:type="paragraph" w:styleId="TableofFigures">
    <w:name w:val="table of figures"/>
    <w:basedOn w:val="Normal"/>
    <w:next w:val="Normal"/>
    <w:uiPriority w:val="99"/>
    <w:unhideWhenUsed/>
    <w:rsid w:val="00457DA1"/>
    <w:pPr>
      <w:spacing w:after="0"/>
    </w:pPr>
    <w:rPr>
      <w:i/>
      <w:iCs/>
      <w:sz w:val="20"/>
      <w:szCs w:val="20"/>
    </w:rPr>
  </w:style>
  <w:style w:type="paragraph" w:customStyle="1" w:styleId="Default">
    <w:name w:val="Default"/>
    <w:rsid w:val="000F1523"/>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2286462">
      <w:bodyDiv w:val="1"/>
      <w:marLeft w:val="0"/>
      <w:marRight w:val="0"/>
      <w:marTop w:val="0"/>
      <w:marBottom w:val="0"/>
      <w:divBdr>
        <w:top w:val="none" w:sz="0" w:space="0" w:color="auto"/>
        <w:left w:val="none" w:sz="0" w:space="0" w:color="auto"/>
        <w:bottom w:val="none" w:sz="0" w:space="0" w:color="auto"/>
        <w:right w:val="none" w:sz="0" w:space="0" w:color="auto"/>
      </w:divBdr>
    </w:div>
    <w:div w:id="639458415">
      <w:bodyDiv w:val="1"/>
      <w:marLeft w:val="0"/>
      <w:marRight w:val="0"/>
      <w:marTop w:val="0"/>
      <w:marBottom w:val="0"/>
      <w:divBdr>
        <w:top w:val="none" w:sz="0" w:space="0" w:color="auto"/>
        <w:left w:val="none" w:sz="0" w:space="0" w:color="auto"/>
        <w:bottom w:val="none" w:sz="0" w:space="0" w:color="auto"/>
        <w:right w:val="none" w:sz="0" w:space="0" w:color="auto"/>
      </w:divBdr>
    </w:div>
    <w:div w:id="777607879">
      <w:bodyDiv w:val="1"/>
      <w:marLeft w:val="0"/>
      <w:marRight w:val="0"/>
      <w:marTop w:val="0"/>
      <w:marBottom w:val="0"/>
      <w:divBdr>
        <w:top w:val="none" w:sz="0" w:space="0" w:color="auto"/>
        <w:left w:val="none" w:sz="0" w:space="0" w:color="auto"/>
        <w:bottom w:val="none" w:sz="0" w:space="0" w:color="auto"/>
        <w:right w:val="none" w:sz="0" w:space="0" w:color="auto"/>
      </w:divBdr>
    </w:div>
    <w:div w:id="1301036900">
      <w:bodyDiv w:val="1"/>
      <w:marLeft w:val="0"/>
      <w:marRight w:val="0"/>
      <w:marTop w:val="0"/>
      <w:marBottom w:val="0"/>
      <w:divBdr>
        <w:top w:val="none" w:sz="0" w:space="0" w:color="auto"/>
        <w:left w:val="none" w:sz="0" w:space="0" w:color="auto"/>
        <w:bottom w:val="none" w:sz="0" w:space="0" w:color="auto"/>
        <w:right w:val="none" w:sz="0" w:space="0" w:color="auto"/>
      </w:divBdr>
    </w:div>
    <w:div w:id="1512448727">
      <w:bodyDiv w:val="1"/>
      <w:marLeft w:val="0"/>
      <w:marRight w:val="0"/>
      <w:marTop w:val="0"/>
      <w:marBottom w:val="0"/>
      <w:divBdr>
        <w:top w:val="none" w:sz="0" w:space="0" w:color="auto"/>
        <w:left w:val="none" w:sz="0" w:space="0" w:color="auto"/>
        <w:bottom w:val="none" w:sz="0" w:space="0" w:color="auto"/>
        <w:right w:val="none" w:sz="0" w:space="0" w:color="auto"/>
      </w:divBdr>
      <w:divsChild>
        <w:div w:id="1519467423">
          <w:marLeft w:val="274"/>
          <w:marRight w:val="0"/>
          <w:marTop w:val="0"/>
          <w:marBottom w:val="0"/>
          <w:divBdr>
            <w:top w:val="none" w:sz="0" w:space="0" w:color="auto"/>
            <w:left w:val="none" w:sz="0" w:space="0" w:color="auto"/>
            <w:bottom w:val="none" w:sz="0" w:space="0" w:color="auto"/>
            <w:right w:val="none" w:sz="0" w:space="0" w:color="auto"/>
          </w:divBdr>
        </w:div>
        <w:div w:id="1114712269">
          <w:marLeft w:val="274"/>
          <w:marRight w:val="0"/>
          <w:marTop w:val="0"/>
          <w:marBottom w:val="0"/>
          <w:divBdr>
            <w:top w:val="none" w:sz="0" w:space="0" w:color="auto"/>
            <w:left w:val="none" w:sz="0" w:space="0" w:color="auto"/>
            <w:bottom w:val="none" w:sz="0" w:space="0" w:color="auto"/>
            <w:right w:val="none" w:sz="0" w:space="0" w:color="auto"/>
          </w:divBdr>
        </w:div>
        <w:div w:id="520051484">
          <w:marLeft w:val="274"/>
          <w:marRight w:val="0"/>
          <w:marTop w:val="0"/>
          <w:marBottom w:val="0"/>
          <w:divBdr>
            <w:top w:val="none" w:sz="0" w:space="0" w:color="auto"/>
            <w:left w:val="none" w:sz="0" w:space="0" w:color="auto"/>
            <w:bottom w:val="none" w:sz="0" w:space="0" w:color="auto"/>
            <w:right w:val="none" w:sz="0" w:space="0" w:color="auto"/>
          </w:divBdr>
        </w:div>
        <w:div w:id="613950388">
          <w:marLeft w:val="994"/>
          <w:marRight w:val="0"/>
          <w:marTop w:val="0"/>
          <w:marBottom w:val="0"/>
          <w:divBdr>
            <w:top w:val="none" w:sz="0" w:space="0" w:color="auto"/>
            <w:left w:val="none" w:sz="0" w:space="0" w:color="auto"/>
            <w:bottom w:val="none" w:sz="0" w:space="0" w:color="auto"/>
            <w:right w:val="none" w:sz="0" w:space="0" w:color="auto"/>
          </w:divBdr>
        </w:div>
        <w:div w:id="983510745">
          <w:marLeft w:val="994"/>
          <w:marRight w:val="0"/>
          <w:marTop w:val="0"/>
          <w:marBottom w:val="0"/>
          <w:divBdr>
            <w:top w:val="none" w:sz="0" w:space="0" w:color="auto"/>
            <w:left w:val="none" w:sz="0" w:space="0" w:color="auto"/>
            <w:bottom w:val="none" w:sz="0" w:space="0" w:color="auto"/>
            <w:right w:val="none" w:sz="0" w:space="0" w:color="auto"/>
          </w:divBdr>
        </w:div>
        <w:div w:id="1877278919">
          <w:marLeft w:val="994"/>
          <w:marRight w:val="0"/>
          <w:marTop w:val="0"/>
          <w:marBottom w:val="0"/>
          <w:divBdr>
            <w:top w:val="none" w:sz="0" w:space="0" w:color="auto"/>
            <w:left w:val="none" w:sz="0" w:space="0" w:color="auto"/>
            <w:bottom w:val="none" w:sz="0" w:space="0" w:color="auto"/>
            <w:right w:val="none" w:sz="0" w:space="0" w:color="auto"/>
          </w:divBdr>
        </w:div>
        <w:div w:id="946043694">
          <w:marLeft w:val="994"/>
          <w:marRight w:val="0"/>
          <w:marTop w:val="0"/>
          <w:marBottom w:val="0"/>
          <w:divBdr>
            <w:top w:val="none" w:sz="0" w:space="0" w:color="auto"/>
            <w:left w:val="none" w:sz="0" w:space="0" w:color="auto"/>
            <w:bottom w:val="none" w:sz="0" w:space="0" w:color="auto"/>
            <w:right w:val="none" w:sz="0" w:space="0" w:color="auto"/>
          </w:divBdr>
        </w:div>
        <w:div w:id="1264652975">
          <w:marLeft w:val="994"/>
          <w:marRight w:val="0"/>
          <w:marTop w:val="0"/>
          <w:marBottom w:val="0"/>
          <w:divBdr>
            <w:top w:val="none" w:sz="0" w:space="0" w:color="auto"/>
            <w:left w:val="none" w:sz="0" w:space="0" w:color="auto"/>
            <w:bottom w:val="none" w:sz="0" w:space="0" w:color="auto"/>
            <w:right w:val="none" w:sz="0" w:space="0" w:color="auto"/>
          </w:divBdr>
        </w:div>
      </w:divsChild>
    </w:div>
    <w:div w:id="1668049246">
      <w:bodyDiv w:val="1"/>
      <w:marLeft w:val="0"/>
      <w:marRight w:val="0"/>
      <w:marTop w:val="0"/>
      <w:marBottom w:val="0"/>
      <w:divBdr>
        <w:top w:val="none" w:sz="0" w:space="0" w:color="auto"/>
        <w:left w:val="none" w:sz="0" w:space="0" w:color="auto"/>
        <w:bottom w:val="none" w:sz="0" w:space="0" w:color="auto"/>
        <w:right w:val="none" w:sz="0" w:space="0" w:color="auto"/>
      </w:divBdr>
    </w:div>
    <w:div w:id="1884753069">
      <w:bodyDiv w:val="1"/>
      <w:marLeft w:val="0"/>
      <w:marRight w:val="0"/>
      <w:marTop w:val="0"/>
      <w:marBottom w:val="0"/>
      <w:divBdr>
        <w:top w:val="none" w:sz="0" w:space="0" w:color="auto"/>
        <w:left w:val="none" w:sz="0" w:space="0" w:color="auto"/>
        <w:bottom w:val="none" w:sz="0" w:space="0" w:color="auto"/>
        <w:right w:val="none" w:sz="0" w:space="0" w:color="auto"/>
      </w:divBdr>
    </w:div>
    <w:div w:id="1932348498">
      <w:bodyDiv w:val="1"/>
      <w:marLeft w:val="0"/>
      <w:marRight w:val="0"/>
      <w:marTop w:val="0"/>
      <w:marBottom w:val="0"/>
      <w:divBdr>
        <w:top w:val="none" w:sz="0" w:space="0" w:color="auto"/>
        <w:left w:val="none" w:sz="0" w:space="0" w:color="auto"/>
        <w:bottom w:val="none" w:sz="0" w:space="0" w:color="auto"/>
        <w:right w:val="none" w:sz="0" w:space="0" w:color="auto"/>
      </w:divBdr>
    </w:div>
    <w:div w:id="1952978749">
      <w:bodyDiv w:val="1"/>
      <w:marLeft w:val="0"/>
      <w:marRight w:val="0"/>
      <w:marTop w:val="0"/>
      <w:marBottom w:val="0"/>
      <w:divBdr>
        <w:top w:val="none" w:sz="0" w:space="0" w:color="auto"/>
        <w:left w:val="none" w:sz="0" w:space="0" w:color="auto"/>
        <w:bottom w:val="none" w:sz="0" w:space="0" w:color="auto"/>
        <w:right w:val="none" w:sz="0" w:space="0" w:color="auto"/>
      </w:divBdr>
    </w:div>
    <w:div w:id="2023890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D12299-13A4-4EDE-9F34-7E11CEAF9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1209</Words>
  <Characters>6894</Characters>
  <Application>Microsoft Office Word</Application>
  <DocSecurity>0</DocSecurity>
  <Lines>57</Lines>
  <Paragraphs>16</Paragraphs>
  <ScaleCrop>false</ScaleCrop>
  <Company/>
  <LinksUpToDate>false</LinksUpToDate>
  <CharactersWithSpaces>8087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2019-07-04T11:11:00Z</dcterms:created>
  <dcterms:modified xsi:type="dcterms:W3CDTF">2019-07-04T11:11:00Z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