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A1" w:rsidRDefault="0052226C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4.Racionalna števila</w:t>
      </w:r>
    </w:p>
    <w:p w:rsidR="00DA76A1" w:rsidRDefault="0052226C">
      <w:pPr>
        <w:spacing w:after="24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993366"/>
        </w:rPr>
        <w:t>Ulomek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</w:rPr>
        <w:t xml:space="preserve">je zapis oblike </w:t>
      </w:r>
      <w:r w:rsidR="003C5D4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4pt" filled="t">
            <v:fill color2="black"/>
            <v:imagedata r:id="rId4" o:title=""/>
          </v:shape>
        </w:pict>
      </w:r>
      <w:r>
        <w:rPr>
          <w:rFonts w:ascii="Arial" w:hAnsi="Arial" w:cs="Arial"/>
        </w:rPr>
        <w:t xml:space="preserve">. Sestavljen je iz števila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26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 xml:space="preserve">), ki ga imenujemo </w:t>
      </w:r>
      <w:r>
        <w:rPr>
          <w:rFonts w:ascii="Arial" w:hAnsi="Arial" w:cs="Arial"/>
          <w:b/>
          <w:bCs/>
        </w:rPr>
        <w:t>števec</w:t>
      </w:r>
      <w:r>
        <w:rPr>
          <w:rFonts w:ascii="Arial" w:hAnsi="Arial" w:cs="Arial"/>
        </w:rPr>
        <w:t xml:space="preserve">, in iz števila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27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≠ 0), ki ga imenujemo </w:t>
      </w:r>
      <w:r>
        <w:rPr>
          <w:rFonts w:ascii="Arial" w:hAnsi="Arial" w:cs="Arial"/>
          <w:b/>
          <w:bCs/>
        </w:rPr>
        <w:t>imenovalec</w:t>
      </w:r>
      <w:r>
        <w:rPr>
          <w:rFonts w:ascii="Arial" w:hAnsi="Arial" w:cs="Arial"/>
        </w:rPr>
        <w:t>, ter iz ulomkove črte.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993366"/>
        </w:rPr>
        <w:t>Racionalna števila</w:t>
      </w:r>
      <w:r>
        <w:rPr>
          <w:rFonts w:ascii="Arial" w:hAnsi="Arial" w:cs="Arial"/>
        </w:rPr>
        <w:t xml:space="preserve"> so števila, ki jih lahko zapišemo z ulomki. Pri tem ulomka </w:t>
      </w:r>
      <w:r w:rsidR="003C5D4C">
        <w:rPr>
          <w:rFonts w:ascii="Arial" w:hAnsi="Arial" w:cs="Arial"/>
        </w:rPr>
        <w:pict>
          <v:shape id="_x0000_i1028" type="#_x0000_t75" style="width:14.25pt;height:24pt" filled="t">
            <v:fill color2="black"/>
            <v:imagedata r:id="rId4" o:title=""/>
          </v:shape>
        </w:pict>
      </w:r>
      <w:r>
        <w:rPr>
          <w:rFonts w:ascii="Arial" w:hAnsi="Arial" w:cs="Arial"/>
        </w:rPr>
        <w:t xml:space="preserve">in </w:t>
      </w:r>
      <w:r w:rsidR="003C5D4C">
        <w:rPr>
          <w:rFonts w:ascii="Arial" w:hAnsi="Arial" w:cs="Arial"/>
        </w:rPr>
        <w:pict>
          <v:shape id="_x0000_i1029" type="#_x0000_t75" style="width:14.25pt;height:24.75pt" filled="t">
            <v:fill color2="black"/>
            <v:imagedata r:id="rId6" o:title=""/>
          </v:shape>
        </w:pict>
      </w:r>
      <w:r>
        <w:rPr>
          <w:rFonts w:ascii="Arial" w:hAnsi="Arial" w:cs="Arial"/>
        </w:rPr>
        <w:t xml:space="preserve">predstavljata isto racionalno število, če velja zveza: </w:t>
      </w:r>
      <w:r>
        <w:rPr>
          <w:rFonts w:ascii="Arial" w:hAnsi="Arial" w:cs="Arial"/>
          <w:i/>
          <w:iCs/>
        </w:rPr>
        <w:t>a d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b c</w:t>
      </w:r>
      <w:r>
        <w:rPr>
          <w:rFonts w:ascii="Arial" w:hAnsi="Arial" w:cs="Arial"/>
        </w:rPr>
        <w:t>, torej: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30" type="#_x0000_t75" style="width:14.25pt;height:24pt" filled="t">
            <v:fill color2="black"/>
            <v:imagedata r:id="rId4" o:title=""/>
          </v:shape>
        </w:pict>
      </w:r>
      <w:r>
        <w:rPr>
          <w:rFonts w:ascii="Arial" w:hAnsi="Arial" w:cs="Arial"/>
        </w:rPr>
        <w:t xml:space="preserve">= </w:t>
      </w:r>
      <w:r w:rsidR="003C5D4C">
        <w:rPr>
          <w:rFonts w:ascii="Arial" w:hAnsi="Arial" w:cs="Arial"/>
        </w:rPr>
        <w:pict>
          <v:shape id="_x0000_i1031" type="#_x0000_t75" style="width:14.25pt;height:24.75pt" filled="t">
            <v:fill color2="black"/>
            <v:imagedata r:id="rId6" o:title=""/>
          </v:shape>
        </w:pict>
      </w:r>
      <w:r>
        <w:rPr>
          <w:rFonts w:ascii="Arial" w:hAnsi="Arial" w:cs="Arial"/>
        </w:rPr>
        <w:t xml:space="preserve">  </w:t>
      </w:r>
      <w:r>
        <w:rPr>
          <w:rFonts w:ascii="Symbol" w:hAnsi="Symbol" w:cs="Arial"/>
        </w:rPr>
        <w:t>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 d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b 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števec in imenovalec ulomka pomnožimo z istim od 0 različnim celim številom, dobljeni ulomek predstavlja isto racionalno število kot prvotni ulomek. Ta postopek imenujemo </w:t>
      </w:r>
      <w:r>
        <w:rPr>
          <w:rFonts w:ascii="Arial" w:hAnsi="Arial" w:cs="Arial"/>
          <w:b/>
          <w:bCs/>
          <w:color w:val="993366"/>
        </w:rPr>
        <w:t>razširjanje</w:t>
      </w:r>
      <w:r>
        <w:rPr>
          <w:rFonts w:ascii="Arial" w:hAnsi="Arial" w:cs="Arial"/>
          <w:color w:val="993366"/>
        </w:rPr>
        <w:t xml:space="preserve"> ali </w:t>
      </w:r>
      <w:r>
        <w:rPr>
          <w:rFonts w:ascii="Arial" w:hAnsi="Arial" w:cs="Arial"/>
          <w:b/>
          <w:bCs/>
          <w:color w:val="993366"/>
        </w:rPr>
        <w:t>širjenje</w:t>
      </w:r>
      <w:r>
        <w:rPr>
          <w:rFonts w:ascii="Arial" w:hAnsi="Arial" w:cs="Arial"/>
        </w:rPr>
        <w:t xml:space="preserve"> ulomka.</w:t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32" type="#_x0000_t75" style="width:94.5pt;height:30pt" filled="t">
            <v:fill color2="black"/>
            <v:imagedata r:id="rId7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števec in imenovalec ulomka delimo s poljubnim skupnim deliteljem teh dveh števil, dobljeni ulomek predstavlja isto racionalno število kot prvotni ulomek. Ta postopek imenujemo </w:t>
      </w:r>
      <w:r>
        <w:rPr>
          <w:rFonts w:ascii="Arial" w:hAnsi="Arial" w:cs="Arial"/>
          <w:b/>
          <w:bCs/>
          <w:color w:val="993366"/>
        </w:rPr>
        <w:t>krajšanje</w:t>
      </w:r>
      <w:r>
        <w:rPr>
          <w:rFonts w:ascii="Arial" w:hAnsi="Arial" w:cs="Arial"/>
        </w:rPr>
        <w:t xml:space="preserve"> ulomka. Če ima ulomek za števec in imenovalec </w:t>
      </w:r>
      <w:hyperlink r:id="rId8" w:anchor="skupni" w:history="1">
        <w:r>
          <w:rPr>
            <w:rStyle w:val="Hyperlink"/>
            <w:rFonts w:ascii="Arial" w:hAnsi="Arial"/>
          </w:rPr>
          <w:t xml:space="preserve">tuji </w:t>
        </w:r>
      </w:hyperlink>
      <w:r>
        <w:rPr>
          <w:rFonts w:ascii="Arial" w:hAnsi="Arial" w:cs="Arial"/>
        </w:rPr>
        <w:t xml:space="preserve">števili, pravimo, da je </w:t>
      </w:r>
      <w:r>
        <w:rPr>
          <w:rFonts w:ascii="Arial" w:hAnsi="Arial" w:cs="Arial"/>
          <w:b/>
          <w:bCs/>
        </w:rPr>
        <w:t>okrajšan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33" type="#_x0000_t75" style="width:63pt;height:28.5pt" filled="t">
            <v:fill color2="black"/>
            <v:imagedata r:id="rId9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993366"/>
        </w:rPr>
        <w:t xml:space="preserve">Množico racionalnih števil označimo: </w:t>
      </w:r>
      <w:r w:rsidR="003C5D4C">
        <w:rPr>
          <w:rFonts w:ascii="Arial" w:hAnsi="Arial" w:cs="Arial"/>
          <w:color w:val="993366"/>
        </w:rPr>
        <w:pict>
          <v:shape id="_x0000_i1034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</w:rPr>
        <w:br/>
        <w:t>Uporabljamo tudi oznaki:</w:t>
      </w:r>
      <w:r>
        <w:rPr>
          <w:rFonts w:ascii="Arial" w:hAnsi="Arial" w:cs="Arial"/>
        </w:rPr>
        <w:br/>
        <w:t xml:space="preserve">  </w:t>
      </w:r>
      <w:r w:rsidR="003C5D4C">
        <w:rPr>
          <w:rFonts w:ascii="Arial" w:hAnsi="Arial" w:cs="Arial"/>
        </w:rPr>
        <w:pict>
          <v:shape id="_x0000_i1035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= množica vseh pozitivnih racionalnih števil</w:t>
      </w:r>
      <w:r>
        <w:rPr>
          <w:rFonts w:ascii="Arial" w:hAnsi="Arial" w:cs="Arial"/>
        </w:rPr>
        <w:br/>
        <w:t xml:space="preserve">  </w:t>
      </w:r>
      <w:r w:rsidR="003C5D4C">
        <w:rPr>
          <w:rFonts w:ascii="Arial" w:hAnsi="Arial" w:cs="Arial"/>
        </w:rPr>
        <w:pict>
          <v:shape id="_x0000_i1036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množica vseh negativnih racionalnih števil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Torej velja:   </w:t>
      </w:r>
      <w:r w:rsidR="003C5D4C">
        <w:rPr>
          <w:rFonts w:ascii="Arial" w:hAnsi="Arial" w:cs="Arial"/>
        </w:rPr>
        <w:pict>
          <v:shape id="_x0000_i1037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 = </w:t>
      </w:r>
      <w:r w:rsidR="003C5D4C">
        <w:rPr>
          <w:rFonts w:ascii="Arial" w:hAnsi="Arial" w:cs="Arial"/>
        </w:rPr>
        <w:pict>
          <v:shape id="_x0000_i1038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{0}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39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Poljubno celo število lahko zapišemo kot ulomek z imenovalcem 1, torej so cela števila tudi elementi množice racionalnih števil in velja: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40" type="#_x0000_t75" style="width:11.25pt;height:9pt" filled="t">
            <v:fill color2="black"/>
            <v:imagedata r:id="rId11" o:title=""/>
          </v:shape>
        </w:pic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41" type="#_x0000_t75" style="width:11.25pt;height:9pt" filled="t">
            <v:fill color2="black"/>
            <v:imagedata r:id="rId5" o:title=""/>
          </v:shape>
        </w:pic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42" type="#_x0000_t75" style="width:11.25pt;height:9.75pt" filled="t">
            <v:fill color2="black"/>
            <v:imagedata r:id="rId10" o:title=""/>
          </v:shape>
        </w:pict>
      </w:r>
    </w:p>
    <w:p w:rsidR="00DA76A1" w:rsidRDefault="00DA76A1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DA76A1" w:rsidRDefault="0052226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4.1.Računanje z ulomki</w:t>
      </w:r>
    </w:p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Racionalna števila uvedemo, ker v množici celih (in tudi naravnih) števil ne moremo vedno deliti. V množici racionalnih števil je možno deliti poljubno število s poljubnim od nič različnim številom.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Tako lahko v množici </w:t>
      </w:r>
      <w:r w:rsidR="003C5D4C">
        <w:rPr>
          <w:rFonts w:ascii="Arial" w:hAnsi="Arial" w:cs="Arial"/>
        </w:rPr>
        <w:pict>
          <v:shape id="_x0000_i1043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>seštevamo, odštevamo, množimo in delimo z eno samo omejitvijo: deljenje z 0 ni mogoče.</w:t>
      </w:r>
      <w:r>
        <w:rPr>
          <w:rFonts w:ascii="Arial" w:hAnsi="Arial" w:cs="Arial"/>
        </w:rPr>
        <w:br/>
        <w:t>Pri tem si pomagamo z naslednjimi pravili: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44" type="#_x0000_t75" style="width:96.75pt;height:118.5pt" filled="t">
            <v:fill color2="black"/>
            <v:imagedata r:id="rId12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Torej: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Seštevamo (odštevamo)</w:t>
      </w:r>
      <w:r>
        <w:rPr>
          <w:rFonts w:ascii="Arial" w:hAnsi="Arial" w:cs="Arial"/>
        </w:rPr>
        <w:t xml:space="preserve"> tako, da najprej poiščemo skupni imenovalec, potem pa seštejemo (odštejemo) oba števca.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Množimo tako</w:t>
      </w:r>
      <w:r>
        <w:rPr>
          <w:rFonts w:ascii="Arial" w:hAnsi="Arial" w:cs="Arial"/>
        </w:rPr>
        <w:t>, da zmnožimo med sabo oba števca in potem še oba imenovalca.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Delimo tako</w:t>
      </w:r>
      <w:r>
        <w:rPr>
          <w:rFonts w:ascii="Arial" w:hAnsi="Arial" w:cs="Arial"/>
        </w:rPr>
        <w:t xml:space="preserve">, da prvi ulomek pomnožimo z </w:t>
      </w:r>
      <w:r>
        <w:rPr>
          <w:rFonts w:ascii="Arial" w:hAnsi="Arial" w:cs="Arial"/>
          <w:b/>
          <w:bCs/>
        </w:rPr>
        <w:t>obratno vrednostjo</w:t>
      </w:r>
      <w:r>
        <w:rPr>
          <w:rFonts w:ascii="Arial" w:hAnsi="Arial" w:cs="Arial"/>
        </w:rPr>
        <w:t xml:space="preserve"> drugega ulomka.</w:t>
      </w:r>
      <w:r>
        <w:rPr>
          <w:rFonts w:ascii="Arial" w:hAnsi="Arial" w:cs="Arial"/>
        </w:rPr>
        <w:br/>
        <w:t xml:space="preserve">Obratna vrednost je ulomek, ki ga dobimo, če zamenjamo števec in imenovalec. Obratno vrednost racionalnega števila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označimo tudi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, oziroma: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45" type="#_x0000_t75" style="width:64.5pt;height:33pt" filled="t">
            <v:fill color2="black"/>
            <v:imagedata r:id="rId13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" w:name="zakoni"/>
    </w:p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Za računske operacije v množici racionalnih števil veljajo naslednji zakoni oziroma aksiomi (za 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a, b, c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3C5D4C">
        <w:rPr>
          <w:rFonts w:ascii="Arial" w:hAnsi="Arial" w:cs="Arial"/>
        </w:rPr>
        <w:pict>
          <v:shape id="_x0000_i1046" type="#_x0000_t75" style="width:11.25pt;height:9.75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>):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5"/>
        <w:gridCol w:w="5660"/>
      </w:tblGrid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seštevanje)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+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seštevanje)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+ 0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nevtralnem elementu (za seštevanje)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(-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) = 0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inverznem (nasprotnem) elementu (za seštevanje)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DA76A1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DA76A1" w:rsidRDefault="00DA76A1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množenje)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množenje)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1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nevtralnem elementu (za množenje)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  <w:vertAlign w:val="superscript"/>
              </w:rPr>
              <w:t>-1</w:t>
            </w:r>
            <w:r>
              <w:rPr>
                <w:rFonts w:cs="Tahoma"/>
              </w:rPr>
              <w:t xml:space="preserve"> = 1 (za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≠ 0) 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inverznem (obratnem) elementu (za množenje) </w:t>
            </w:r>
          </w:p>
        </w:tc>
      </w:tr>
      <w:tr w:rsidR="00DA76A1">
        <w:tc>
          <w:tcPr>
            <w:tcW w:w="2365" w:type="dxa"/>
            <w:vAlign w:val="center"/>
          </w:tcPr>
          <w:p w:rsidR="00DA76A1" w:rsidRDefault="00DA76A1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DA76A1" w:rsidRDefault="00DA76A1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DA76A1">
        <w:tc>
          <w:tcPr>
            <w:tcW w:w="2365" w:type="dxa"/>
            <w:vAlign w:val="center"/>
          </w:tcPr>
          <w:p w:rsidR="00DA76A1" w:rsidRDefault="0052226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 xml:space="preserve">)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DA76A1" w:rsidRDefault="005222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distributivnostni zakon (za seštevanje in množenje) </w:t>
            </w:r>
          </w:p>
        </w:tc>
      </w:tr>
    </w:tbl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V zgoraj zapisanih zakonih odštevanje in deljenje ne nastopata, ker odštevanje pomeni prištevanje nasprotne vrednosti (torej: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+ (-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)), deljenje pa pomeni množenje z obratno vrednostjo (torej: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). </w:t>
      </w:r>
      <w:bookmarkStart w:id="2" w:name="decimal"/>
      <w:bookmarkEnd w:id="1"/>
    </w:p>
    <w:p w:rsidR="00DA76A1" w:rsidRDefault="00DA76A1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DA76A1" w:rsidRDefault="00DA76A1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DA76A1" w:rsidRDefault="00DA76A1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DA76A1" w:rsidRDefault="0052226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4.2. Decimalni zapis racionalnega števila</w:t>
      </w:r>
    </w:p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Racionalna števila lahko zapišemo tudi z decimalnim mestnim zapisom. Pri tem prvo decimalno mesto za decimalno vejico (ali piko) pomeni desetinke, drugo mesto stotinke, tretje mesto tisočinke, ...</w:t>
      </w:r>
      <w:r>
        <w:rPr>
          <w:rFonts w:ascii="Arial" w:hAnsi="Arial" w:cs="Arial"/>
        </w:rPr>
        <w:br/>
        <w:t>Primer:</w:t>
      </w:r>
      <w:r>
        <w:rPr>
          <w:rFonts w:ascii="Arial" w:hAnsi="Arial" w:cs="Arial"/>
        </w:rPr>
        <w:br/>
        <w:t xml:space="preserve">  12,3456 = 12 celih + 3 desetinke + 4 stotinke + 5 tisočink + 6 desettisočink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Ulomek preoblikujemo v decimalni zapis z decimalnim deljenjem (števec delimo z imenovalcem).</w:t>
      </w:r>
      <w:r>
        <w:rPr>
          <w:rFonts w:ascii="Arial" w:hAnsi="Arial" w:cs="Arial"/>
        </w:rPr>
        <w:br/>
        <w:t xml:space="preserve">Pri tem se lahko zgodi, da se deljenje po nekaj korakih izide, </w:t>
      </w:r>
    </w:p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npr.: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47" type="#_x0000_t75" style="width:69.75pt;height:54.7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Kadar se deljenje ne izide, pa vedno pride do ponavljanja neke skupine decimalk, npr.: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48" type="#_x0000_t75" style="width:228.75pt;height:84.75pt" filled="t">
            <v:fill color2="black"/>
            <v:imagedata r:id="rId15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Ponavljajočo skupino decimalk imenujemo </w:t>
      </w:r>
      <w:r>
        <w:rPr>
          <w:rFonts w:ascii="Arial" w:hAnsi="Arial" w:cs="Arial"/>
          <w:b/>
          <w:bCs/>
          <w:color w:val="800080"/>
        </w:rPr>
        <w:t>perioda</w:t>
      </w:r>
      <w:r>
        <w:rPr>
          <w:rFonts w:ascii="Arial" w:hAnsi="Arial" w:cs="Arial"/>
        </w:rPr>
        <w:t xml:space="preserve"> in jo označimo z vodoravno črto zgoraj.</w:t>
      </w:r>
      <w:r>
        <w:rPr>
          <w:rFonts w:ascii="Arial" w:hAnsi="Arial" w:cs="Arial"/>
        </w:rPr>
        <w:br/>
        <w:t>V primeru, ko se deljenje po nekaj korakih izide in je decimalni zapis končen, lahko štejemo, kot da od tega mesta naprej sledijo same ničle - torej lahko tudi v tem primeru govorimo o ponavljanju oziroma periodičnosti.</w:t>
      </w:r>
      <w:r>
        <w:rPr>
          <w:rFonts w:ascii="Arial" w:hAnsi="Arial" w:cs="Arial"/>
        </w:rPr>
        <w:br/>
        <w:t>Velja ugotovitev: Vsako racionalno število lahko zapišemo z neskončnim periodičnim decimalnim zapisom.</w:t>
      </w:r>
      <w:bookmarkStart w:id="3" w:name="razmerje"/>
      <w:bookmarkEnd w:id="2"/>
    </w:p>
    <w:p w:rsidR="00DA76A1" w:rsidRDefault="00DA76A1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DA76A1" w:rsidRDefault="0052226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4.3. Razmerje, delež, procent, promil</w:t>
      </w:r>
    </w:p>
    <w:p w:rsidR="00DA76A1" w:rsidRDefault="005222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Razmerje opisuje odnos med danimi količinami.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Dvočleno</w:t>
      </w:r>
      <w:r>
        <w:rPr>
          <w:rFonts w:ascii="Arial" w:hAnsi="Arial" w:cs="Arial"/>
        </w:rPr>
        <w:t xml:space="preserve"> (ali </w:t>
      </w:r>
      <w:r>
        <w:rPr>
          <w:rFonts w:ascii="Arial" w:hAnsi="Arial" w:cs="Arial"/>
          <w:b/>
          <w:bCs/>
        </w:rPr>
        <w:t>enostavno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razmerje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nam pove, da prva količina znaša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enot, druga pa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enot. Enote so pri tem lahko precej poljubne.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Veččleno</w:t>
      </w:r>
      <w:r>
        <w:rPr>
          <w:rFonts w:ascii="Arial" w:hAnsi="Arial" w:cs="Arial"/>
        </w:rPr>
        <w:t xml:space="preserve"> (ali </w:t>
      </w:r>
      <w:r>
        <w:rPr>
          <w:rFonts w:ascii="Arial" w:hAnsi="Arial" w:cs="Arial"/>
          <w:b/>
          <w:bCs/>
        </w:rPr>
        <w:t>podaljšano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razmerje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· · ·  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nam pove, da prva količina znaša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enot, druga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enot, tretja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enot, ... in zadnja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enot.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Zgled: V razredu je 12 fantov in 18 deklet. To pomeni, da je razmerje med njimi enako 12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18 (če za enoto izberemo 1 osebo), ali v okrajšani obliki: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= 2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br/>
        <w:t xml:space="preserve">   (Za mersko enoto izberemo 6 oseb. Količina fantov je potem 2 enoti, količina deklet pa je 3 enote.)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Kot vidimo iz zgornjega zgleda, lahko razmerja razširjamo in krajšamo (podobno kot ulomke), tako da vse člene razmerja pomnožimo ali delimo z istim od 0 različnim številom.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 V škatli je 8 rdečih, 16 modrih in 12 zelenih žogic. Razmerje med rdečimi, modrimi in zelenimi je enako: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z</w:t>
      </w:r>
      <w:r>
        <w:rPr>
          <w:rFonts w:ascii="Arial" w:hAnsi="Arial" w:cs="Arial"/>
        </w:rPr>
        <w:t xml:space="preserve"> = 8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16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12 = 2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4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</w:rPr>
        <w:t xml:space="preserve"> Razmerje med delom in celoto imenujemo </w:t>
      </w:r>
      <w:r>
        <w:rPr>
          <w:rFonts w:ascii="Arial" w:hAnsi="Arial" w:cs="Arial"/>
          <w:b/>
          <w:bCs/>
          <w:color w:val="800080"/>
        </w:rPr>
        <w:t>delež</w:t>
      </w:r>
      <w:r>
        <w:rPr>
          <w:rFonts w:ascii="Arial" w:hAnsi="Arial" w:cs="Arial"/>
        </w:rPr>
        <w:t xml:space="preserve">. Delež običajno zapišemo v obliki ulomka, možen pa je tudi zapis v drugih oblikah. Delež izražen v stotinah imenujemo </w:t>
      </w:r>
      <w:r>
        <w:rPr>
          <w:rFonts w:ascii="Arial" w:hAnsi="Arial" w:cs="Arial"/>
          <w:b/>
          <w:bCs/>
        </w:rPr>
        <w:t>procentni (odstotni) delež</w:t>
      </w:r>
      <w:r>
        <w:rPr>
          <w:rFonts w:ascii="Arial" w:hAnsi="Arial" w:cs="Arial"/>
        </w:rPr>
        <w:t xml:space="preserve"> ali na kratko </w:t>
      </w:r>
      <w:r>
        <w:rPr>
          <w:rFonts w:ascii="Arial" w:hAnsi="Arial" w:cs="Arial"/>
          <w:b/>
          <w:bCs/>
        </w:rPr>
        <w:t>procent</w:t>
      </w:r>
      <w:r>
        <w:rPr>
          <w:rFonts w:ascii="Arial" w:hAnsi="Arial" w:cs="Arial"/>
        </w:rPr>
        <w:t xml:space="preserve"> (oznaka %), delež izražen v tisočinah pa imenujemo </w:t>
      </w:r>
      <w:r>
        <w:rPr>
          <w:rFonts w:ascii="Arial" w:hAnsi="Arial" w:cs="Arial"/>
          <w:b/>
          <w:bCs/>
        </w:rPr>
        <w:t>promilni delež</w:t>
      </w:r>
      <w:r>
        <w:rPr>
          <w:rFonts w:ascii="Arial" w:hAnsi="Arial" w:cs="Arial"/>
        </w:rPr>
        <w:t xml:space="preserve"> ali na kratko </w:t>
      </w:r>
      <w:r>
        <w:rPr>
          <w:rFonts w:ascii="Arial" w:hAnsi="Arial" w:cs="Arial"/>
          <w:b/>
          <w:bCs/>
        </w:rPr>
        <w:t>promil</w:t>
      </w:r>
      <w:r>
        <w:rPr>
          <w:rFonts w:ascii="Arial" w:hAnsi="Arial" w:cs="Arial"/>
        </w:rPr>
        <w:t xml:space="preserve"> (oznaka ‰).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 V razredu je 12 fantov in 18 deklet. To pomeni, da je vseh skupaj 12 + 18 = 30. Delež fantov je razmerje med številom fantov in številom vseh učencev, torej</w:t>
      </w:r>
      <w:r>
        <w:rPr>
          <w:rFonts w:ascii="Arial" w:hAnsi="Arial" w:cs="Arial"/>
        </w:rPr>
        <w:br/>
        <w:t xml:space="preserve">12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30 = 2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5 = </w:t>
      </w:r>
      <w:r w:rsidR="003C5D4C">
        <w:rPr>
          <w:rFonts w:ascii="Arial" w:hAnsi="Arial" w:cs="Arial"/>
        </w:rPr>
        <w:pict>
          <v:shape id="_x0000_i1049" type="#_x0000_t75" style="width:11.25pt;height:23.25pt" filled="t">
            <v:fill color2="black"/>
            <v:imagedata r:id="rId16" o:title=""/>
          </v:shape>
        </w:pict>
      </w:r>
      <w:r>
        <w:rPr>
          <w:rFonts w:ascii="Arial" w:hAnsi="Arial" w:cs="Arial"/>
        </w:rPr>
        <w:t xml:space="preserve">  (beri: delež fantov v razredu je </w:t>
      </w:r>
      <w:r w:rsidR="003C5D4C">
        <w:rPr>
          <w:rFonts w:ascii="Arial" w:hAnsi="Arial" w:cs="Arial"/>
        </w:rPr>
        <w:pict>
          <v:shape id="_x0000_i1050" type="#_x0000_t75" style="width:11.25pt;height:23.25pt" filled="t">
            <v:fill color2="black"/>
            <v:imagedata r:id="rId16" o:title=""/>
          </v:shape>
        </w:pic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To lahko zapišemo tudi v drugih oblikah:</w:t>
      </w:r>
      <w:r>
        <w:rPr>
          <w:rFonts w:ascii="Arial" w:hAnsi="Arial" w:cs="Arial"/>
        </w:rPr>
        <w:br/>
        <w:t xml:space="preserve">   </w:t>
      </w:r>
      <w:r w:rsidR="003C5D4C">
        <w:rPr>
          <w:rFonts w:ascii="Arial" w:hAnsi="Arial" w:cs="Arial"/>
        </w:rPr>
        <w:pict>
          <v:shape id="_x0000_i1051" type="#_x0000_t75" style="width:11.25pt;height:23.25pt" filled="t">
            <v:fill color2="black"/>
            <v:imagedata r:id="rId16" o:title=""/>
          </v:shape>
        </w:pict>
      </w:r>
      <w:r>
        <w:rPr>
          <w:rFonts w:ascii="Arial" w:hAnsi="Arial" w:cs="Arial"/>
        </w:rPr>
        <w:t xml:space="preserve">= 0,4 = 0,40 = </w:t>
      </w:r>
      <w:r w:rsidR="003C5D4C">
        <w:rPr>
          <w:rFonts w:ascii="Arial" w:hAnsi="Arial" w:cs="Arial"/>
        </w:rPr>
        <w:pict>
          <v:shape id="_x0000_i1052" type="#_x0000_t75" style="width:23.25pt;height:23.25pt" filled="t">
            <v:fill color2="black"/>
            <v:imagedata r:id="rId17" o:title=""/>
          </v:shape>
        </w:pict>
      </w:r>
      <w:r>
        <w:rPr>
          <w:rFonts w:ascii="Arial" w:hAnsi="Arial" w:cs="Arial"/>
        </w:rPr>
        <w:t>= 40% (delež fantov v razredu je 40 stotin oziroma 40 procentov)</w:t>
      </w:r>
      <w:r>
        <w:rPr>
          <w:rFonts w:ascii="Arial" w:hAnsi="Arial" w:cs="Arial"/>
        </w:rPr>
        <w:br/>
        <w:t xml:space="preserve">        = 0,400 = 400‰ (delež fantov v razredu je 400 tisočin oziroma 400 promilov)</w:t>
      </w:r>
      <w:bookmarkStart w:id="4" w:name="povec"/>
      <w:bookmarkEnd w:id="3"/>
    </w:p>
    <w:p w:rsidR="00DA76A1" w:rsidRDefault="0052226C">
      <w:pPr>
        <w:spacing w:before="280" w:after="280"/>
        <w:rPr>
          <w:rFonts w:ascii="Arial" w:hAnsi="Arial" w:cs="Arial"/>
          <w:b/>
          <w:bCs/>
          <w:color w:val="800080"/>
          <w:sz w:val="32"/>
          <w:szCs w:val="32"/>
        </w:rPr>
      </w:pPr>
      <w:r>
        <w:rPr>
          <w:rFonts w:ascii="Wingdings" w:hAnsi="Wingdings" w:cs="Tahoma"/>
          <w:b/>
          <w:bCs/>
          <w:color w:val="800080"/>
          <w:sz w:val="32"/>
          <w:szCs w:val="32"/>
        </w:rPr>
        <w:t></w:t>
      </w:r>
      <w:r>
        <w:rPr>
          <w:rFonts w:ascii="Arial" w:hAnsi="Arial" w:cs="Arial"/>
          <w:b/>
          <w:bCs/>
          <w:color w:val="800080"/>
          <w:sz w:val="32"/>
          <w:szCs w:val="32"/>
        </w:rPr>
        <w:t xml:space="preserve">Povečanje za </w:t>
      </w:r>
      <w:r>
        <w:rPr>
          <w:rFonts w:ascii="Arial" w:hAnsi="Arial" w:cs="Arial"/>
          <w:b/>
          <w:bCs/>
          <w:i/>
          <w:iCs/>
          <w:color w:val="800080"/>
          <w:sz w:val="32"/>
          <w:szCs w:val="32"/>
        </w:rPr>
        <w:t>p</w:t>
      </w:r>
      <w:r>
        <w:rPr>
          <w:rFonts w:ascii="Arial" w:hAnsi="Arial" w:cs="Arial"/>
          <w:b/>
          <w:bCs/>
          <w:color w:val="800080"/>
          <w:sz w:val="32"/>
          <w:szCs w:val="32"/>
        </w:rPr>
        <w:t>%</w:t>
      </w:r>
    </w:p>
    <w:p w:rsidR="00DA76A1" w:rsidRDefault="0052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Povečanje dane količine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% pomeni, da dani količini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prištejemo še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% od te količine, torej:</w:t>
      </w:r>
    </w:p>
    <w:p w:rsidR="00DA76A1" w:rsidRDefault="0052226C">
      <w:pPr>
        <w:rPr>
          <w:rFonts w:ascii="Arial" w:hAnsi="Arial" w:cs="Arial"/>
          <w:color w:val="80008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color w:val="800080"/>
        </w:rPr>
        <w:t xml:space="preserve">   x+xp%= x ( 1+ p%) = `` x1,p ``</w:t>
      </w:r>
    </w:p>
    <w:p w:rsidR="00DA76A1" w:rsidRDefault="0052226C">
      <w:pPr>
        <w:spacing w:before="280" w:after="280"/>
        <w:rPr>
          <w:rFonts w:ascii="Arial" w:hAnsi="Arial" w:cs="Arial"/>
          <w:b/>
          <w:bCs/>
          <w:color w:val="800080"/>
          <w:sz w:val="32"/>
          <w:szCs w:val="32"/>
        </w:rPr>
      </w:pPr>
      <w:r>
        <w:rPr>
          <w:rFonts w:ascii="Arial" w:hAnsi="Arial" w:cs="Arial"/>
        </w:rPr>
        <w:br/>
      </w:r>
      <w:r>
        <w:rPr>
          <w:rFonts w:ascii="Wingdings" w:hAnsi="Wingdings" w:cs="Tahoma"/>
          <w:b/>
          <w:bCs/>
          <w:color w:val="800080"/>
          <w:sz w:val="32"/>
          <w:szCs w:val="32"/>
        </w:rPr>
        <w:t></w:t>
      </w:r>
      <w:r>
        <w:rPr>
          <w:rFonts w:ascii="Arial" w:hAnsi="Arial" w:cs="Arial"/>
          <w:b/>
          <w:bCs/>
          <w:color w:val="800080"/>
          <w:sz w:val="32"/>
          <w:szCs w:val="32"/>
        </w:rPr>
        <w:t xml:space="preserve">Pomanjšanje za </w:t>
      </w:r>
      <w:r>
        <w:rPr>
          <w:rFonts w:ascii="Arial" w:hAnsi="Arial" w:cs="Arial"/>
          <w:b/>
          <w:bCs/>
          <w:i/>
          <w:iCs/>
          <w:color w:val="800080"/>
          <w:sz w:val="32"/>
          <w:szCs w:val="32"/>
        </w:rPr>
        <w:t>p</w:t>
      </w:r>
      <w:r>
        <w:rPr>
          <w:rFonts w:ascii="Arial" w:hAnsi="Arial" w:cs="Arial"/>
          <w:b/>
          <w:bCs/>
          <w:color w:val="800080"/>
          <w:sz w:val="32"/>
          <w:szCs w:val="32"/>
        </w:rPr>
        <w:t>%</w:t>
      </w:r>
    </w:p>
    <w:p w:rsidR="00DA76A1" w:rsidRDefault="0052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isto formulo lahko izračunamo tudi zmanjšanje dane količine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%, upoštevamo samo negativni predznak (zmanjšanje za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% je isto kot zvečanje za -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%).</w:t>
      </w:r>
      <w:bookmarkEnd w:id="4"/>
    </w:p>
    <w:p w:rsidR="00DA76A1" w:rsidRDefault="0052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A76A1" w:rsidRDefault="0052226C">
      <w:pPr>
        <w:rPr>
          <w:rFonts w:ascii="Arial" w:hAnsi="Arial" w:cs="Arial"/>
          <w:color w:val="80008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800080"/>
        </w:rPr>
        <w:t xml:space="preserve">   x-xp%= x ( 1- p%)</w:t>
      </w:r>
    </w:p>
    <w:sectPr w:rsidR="00DA76A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26C"/>
    <w:rsid w:val="003C5D4C"/>
    <w:rsid w:val="0052226C"/>
    <w:rsid w:val="00D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mpavle1/mp/nnnzzz.html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