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A1" w:rsidRPr="00C22DA1" w:rsidRDefault="00C22DA1" w:rsidP="00C22DA1">
      <w:pPr>
        <w:autoSpaceDE w:val="0"/>
        <w:autoSpaceDN w:val="0"/>
        <w:adjustRightInd w:val="0"/>
        <w:spacing w:line="360" w:lineRule="auto"/>
        <w:rPr>
          <w:rFonts w:ascii="Arial Black" w:hAnsi="Arial Black" w:cs="Arial"/>
          <w:b/>
          <w:sz w:val="32"/>
          <w:szCs w:val="32"/>
        </w:rPr>
      </w:pPr>
      <w:bookmarkStart w:id="0" w:name="_GoBack"/>
      <w:bookmarkEnd w:id="0"/>
      <w:r w:rsidRPr="00C22DA1">
        <w:rPr>
          <w:rFonts w:ascii="Arial Black" w:hAnsi="Arial Black" w:cs="Arial"/>
          <w:b/>
          <w:sz w:val="32"/>
          <w:szCs w:val="32"/>
        </w:rPr>
        <w:t>NAPOTKI ZA IZDELAVO SEMINARSKE NALOGE</w:t>
      </w:r>
    </w:p>
    <w:p w:rsidR="00C22DA1" w:rsidRPr="00C22DA1" w:rsidRDefault="00C22DA1" w:rsidP="00C22DA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2"/>
          <w:szCs w:val="22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Seminarska naloga pri splošni maturi iz psihologije je empirična. Je kandidatovo individualno in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samostojno delo.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Rok za oddajo seminarske naloge je določen s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Koledarjem splošne mature</w:t>
      </w:r>
      <w:r w:rsidRPr="00D92BC6">
        <w:rPr>
          <w:rFonts w:ascii="Arial" w:hAnsi="Arial" w:cs="ArialMT"/>
          <w:sz w:val="22"/>
          <w:szCs w:val="22"/>
          <w:lang w:bidi="hi-IN"/>
        </w:rPr>
        <w:t>. Kandidat odda nalogo v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pisni in elektronski obliki.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-ItalicMT"/>
          <w:i/>
          <w:iCs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Seminarska naloga mora biti izdelana v skladu s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Pravili za izdelavo seminarske naloge pri splošni</w:t>
      </w:r>
      <w:r>
        <w:rPr>
          <w:rFonts w:ascii="Arial" w:hAnsi="Arial" w:cs="Arial-ItalicMT"/>
          <w:i/>
          <w:iCs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maturi</w:t>
      </w:r>
      <w:r w:rsidRPr="00D92BC6">
        <w:rPr>
          <w:rFonts w:ascii="Arial" w:hAnsi="Arial" w:cs="ArialMT"/>
          <w:sz w:val="22"/>
          <w:szCs w:val="22"/>
          <w:lang w:bidi="hi-IN"/>
        </w:rPr>
        <w:t>, ki jih sprejme DK SM in so objavljena na spletnih straneh www.ric.si.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Raziskovalna naloga lahko nadomesti seminarsko nalogo v skladu s pravili o priznavanju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raziskovalnih nalog, ki jih je sprejela DK SM.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 w:rsidRPr="00D92BC6">
        <w:rPr>
          <w:rFonts w:ascii="Arial" w:hAnsi="Arial" w:cs="ArialBlack"/>
          <w:b/>
          <w:bCs/>
          <w:sz w:val="26"/>
          <w:szCs w:val="26"/>
          <w:lang w:bidi="hi-IN"/>
        </w:rPr>
        <w:t>Izbor teme in opredelitev problema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Tema seminarske naloge mora biti psihološka.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Kandidat izbere temo v dogovoru z učiteljem, ki ga poučuje in vodi (v nadaljnjem besedilu učitelj) pri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 xml:space="preserve">izdelavi seminarske naloge. Priporočeno je izbiranje iz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Stalnega kataloga naslovov seminarskih nalog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za splošno maturo pri psihologiji</w:t>
      </w:r>
      <w:r w:rsidRPr="00D92BC6">
        <w:rPr>
          <w:rFonts w:ascii="Arial" w:hAnsi="Arial" w:cs="ArialMT"/>
          <w:sz w:val="22"/>
          <w:szCs w:val="22"/>
          <w:lang w:bidi="hi-IN"/>
        </w:rPr>
        <w:t>, ki je objavljen na spletni s</w:t>
      </w:r>
      <w:r>
        <w:rPr>
          <w:rFonts w:ascii="Arial" w:hAnsi="Arial" w:cs="ArialMT"/>
          <w:sz w:val="22"/>
          <w:szCs w:val="22"/>
          <w:lang w:bidi="hi-IN"/>
        </w:rPr>
        <w:t xml:space="preserve">trani </w:t>
      </w:r>
      <w:r w:rsidRPr="00D92BC6">
        <w:rPr>
          <w:rFonts w:ascii="Arial" w:hAnsi="Arial" w:cs="ArialMT"/>
          <w:sz w:val="22"/>
          <w:szCs w:val="22"/>
          <w:lang w:bidi="hi-IN"/>
        </w:rPr>
        <w:t>Državnega izpitnega centra: www.ric.si.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Pri izbiri teme morajo biti izpolnjeni ti pogoji: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tema mora biti v skladu s cilji kataloga,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dana mora biti možnost uporabe preprostih metod in postopkov, ki so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opredeljeni s cilji v katalogu,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dana mora biti možnost dostopa do strokovne literature in virov.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Kandidat prijavi temo in seminarsko nalogo v skladu z</w:t>
      </w:r>
      <w:r>
        <w:rPr>
          <w:rFonts w:ascii="Arial" w:hAnsi="Arial" w:cs="ArialMT"/>
          <w:sz w:val="22"/>
          <w:szCs w:val="22"/>
          <w:lang w:bidi="hi-IN"/>
        </w:rPr>
        <w:t xml:space="preserve"> Zakonom o maturi in na njegovi </w:t>
      </w:r>
      <w:r w:rsidRPr="00D92BC6">
        <w:rPr>
          <w:rFonts w:ascii="Arial" w:hAnsi="Arial" w:cs="ArialMT"/>
          <w:sz w:val="22"/>
          <w:szCs w:val="22"/>
          <w:lang w:bidi="hi-IN"/>
        </w:rPr>
        <w:t>podlagi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sprejetimi podzakonskimi akti.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sz w:val="22"/>
          <w:szCs w:val="22"/>
          <w:lang w:bidi="hi-IN"/>
        </w:rPr>
        <w:t xml:space="preserve">► </w:t>
      </w: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Primeri za temo seminarske naloge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Odnos do partnerstva in družine pri srednješolkah in srednješolcih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Pogostost in vzroki stresa pri gimnazijcih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Povezanost učnih navad z učnim uspehom pri dijakih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Razlike v predsodkih med gimnazijci in gimnazijkami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Stališča mladostnikov do psihološke pomoči in duševnih motenj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Uporaba psihologije v oglaševanju – analiza izbranih oglasov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Značilnosti otroške risbe v obdobju od treh do petih let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>
        <w:rPr>
          <w:rFonts w:ascii="Arial" w:hAnsi="Arial" w:cs="ArialBlack"/>
          <w:sz w:val="22"/>
          <w:szCs w:val="22"/>
          <w:lang w:bidi="hi-IN"/>
        </w:rPr>
        <w:br w:type="page"/>
      </w:r>
      <w:r w:rsidRPr="00D92BC6">
        <w:rPr>
          <w:rFonts w:ascii="Arial" w:hAnsi="Arial" w:cs="ArialBlack"/>
          <w:b/>
          <w:bCs/>
          <w:sz w:val="26"/>
          <w:szCs w:val="26"/>
          <w:lang w:bidi="hi-IN"/>
        </w:rPr>
        <w:lastRenderedPageBreak/>
        <w:t>Koraki pri izdelavi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Izdelava seminarske naloge poteka po več korakih. Temeljni koraki so: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1. izbira teme in okvirna opredelitev problema,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2. zbiranje strokovnega gradiva in študij izbranega gradiva,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3. izdelava dispozicije – oblikovanje ciljev in hipotez, načrtovanje metode,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4. izdelava, izbor ali priredba merskega instrumenta,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5. zbiranje podatkov in njihova obdelava,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6. pisanje seminarske naloge.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Izbor teme in opredelitev problema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Pred začetkom izdelave seminarske naloge izberemo temo oziroma problem,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ki nas zanima. Opredelitev problema je eden ključnih korakov pri izdelavi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naloge, saj se odločimo, kaj bomo raziskovali in katere cilje bomo dosegli.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Problem lažje opredelimo, če imamo na izbranem področju raziskovanja nekaj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osnovnega znanja. Pomembno je tudi, da je s področja, ki ga želimo raziskati,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dovolj strokovne psihološke literature. Pri opredelitvi problema naj kandidat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upošteva strokovna in etična načela psihologije kot znanosti ter učiteljeve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nasvete.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Zbiranje strokovnega gradiva in študij izbranega gradiva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Pomemben del priprave na izdelavo seminarske naloge je zbiranje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strokovnega gradiva (literature, virov) iz psihologije – psiholoških knjig,</w:t>
      </w:r>
      <w:r>
        <w:rPr>
          <w:rFonts w:ascii="Arial" w:hAnsi="Arial" w:cs="ArialMT"/>
          <w:sz w:val="22"/>
          <w:szCs w:val="22"/>
          <w:lang w:bidi="hi-IN"/>
        </w:rPr>
        <w:t xml:space="preserve"> s</w:t>
      </w:r>
      <w:r w:rsidRPr="00D92BC6">
        <w:rPr>
          <w:rFonts w:ascii="Arial" w:hAnsi="Arial" w:cs="ArialMT"/>
          <w:sz w:val="22"/>
          <w:szCs w:val="22"/>
          <w:lang w:bidi="hi-IN"/>
        </w:rPr>
        <w:t>trokovnih psiholoških revij (npr. Psihološka obzorja, Panika) ali revij, ki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vsebujejo tudi psihološke prispevke (npr. Anthropos, Vzgoja in izobraževanje)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– in drugih virov, npr. učbenikov, priročnikov, enciklopedij, spletnih virov.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Izbrani viri naj bodo strokovni ter vezani na problem in izvedbo seminarske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naloge. Ta mora temeljiti na več virih in ne samo na enem ali dveh. Uporaba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različnih virov namreč omogoča poglobljeno predstavitev izbranega problema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in njegovo osvetlitev z različnih vidikov v teoretičnem uvodu. Zagotavlja tudi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kakovostno in strokovno interpretacijo rezultatov ter njihovo poglobljeno in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kritično vrednotenje glede na širša psihološka spoznanja.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Pri študiju izbranega strokovnega gradiva naj kandidat uporablja strategije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učinkovitega učenja. Priporočeno je delati zapiske ter sprotno beležiti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vprašanja in ideje, ki se porajajo ob študiju.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Izdelava dispozicije – oblikovanje ciljev in hipotez, načrtovanje metode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Dispozicija je načrt oziroma osnutek seminarske naloge, v katerem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natančneje predvidimo, kaj in kako bomo raziskovali. Nastaja ob študiju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strokovnega gradiva in je obvezna sestavina seminarske mape.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>
        <w:rPr>
          <w:rFonts w:ascii="Arial" w:hAnsi="Arial" w:cs="ArialMT"/>
          <w:sz w:val="22"/>
          <w:szCs w:val="22"/>
          <w:lang w:bidi="hi-IN"/>
        </w:rPr>
        <w:br w:type="page"/>
      </w:r>
      <w:r w:rsidRPr="00D92BC6">
        <w:rPr>
          <w:rFonts w:ascii="Arial" w:hAnsi="Arial" w:cs="ArialMT"/>
          <w:sz w:val="22"/>
          <w:szCs w:val="22"/>
          <w:lang w:bidi="hi-IN"/>
        </w:rPr>
        <w:lastRenderedPageBreak/>
        <w:t>Dispozicija seminarske naloge vsebuje: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opredelitev problema,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postavitev ciljev in hipotez (konkretnih vprašanj, na katera želimo v</w:t>
      </w:r>
      <w:r>
        <w:rPr>
          <w:rFonts w:ascii="Arial" w:hAnsi="Arial" w:cs="ArialMT"/>
          <w:sz w:val="22"/>
          <w:szCs w:val="22"/>
          <w:lang w:bidi="hi-IN"/>
        </w:rPr>
        <w:t xml:space="preserve"> nalogi odgovoriti, in </w:t>
      </w:r>
      <w:r w:rsidRPr="00D92BC6">
        <w:rPr>
          <w:rFonts w:ascii="Arial" w:hAnsi="Arial" w:cs="ArialMT"/>
          <w:sz w:val="22"/>
          <w:szCs w:val="22"/>
          <w:lang w:bidi="hi-IN"/>
        </w:rPr>
        <w:t>možnih odgovorov),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okvirni opis metode (predvideni vzorec, merski instrument in postopek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zbiranja podatkov),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literaturo in vire, ki jih bomo uporabili pri pisanju seminarske naloge.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Izdelava, izbira ali priredba merskega instrumenta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Kandidat merski instrument izdela sam (npr. anketni vprašalnik, opazovalno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shemo, vprašanja za intervju) ali iz strokovne literature izbere psihološki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vpraš</w:t>
      </w:r>
      <w:r>
        <w:rPr>
          <w:rFonts w:ascii="Arial" w:hAnsi="Arial" w:cs="ArialMT"/>
          <w:sz w:val="22"/>
          <w:szCs w:val="22"/>
          <w:lang w:bidi="hi-IN"/>
        </w:rPr>
        <w:t xml:space="preserve">alnik. Izbrani </w:t>
      </w:r>
      <w:r w:rsidRPr="00D92BC6">
        <w:rPr>
          <w:rFonts w:ascii="Arial" w:hAnsi="Arial" w:cs="ArialMT"/>
          <w:sz w:val="22"/>
          <w:szCs w:val="22"/>
          <w:lang w:bidi="hi-IN"/>
        </w:rPr>
        <w:t>vprašalnik lahko namenu raziskave tudi priredi, vendar naj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v seminarski nalogi jasno zapiše, da gre za priredbo, in navede originalni vir.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Pri izdelavi, izbiri ali priredbi merskega instrumenta izhajamo iz opredelitve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problema in hipotez, ki jih želimo s seminarsko nalogo preveriti. Pomembno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je, da merski instrument omogoča potrditev ali zavrnitev (verifikacijo ali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fal</w:t>
      </w:r>
      <w:r>
        <w:rPr>
          <w:rFonts w:ascii="Arial" w:hAnsi="Arial" w:cs="ArialMT"/>
          <w:sz w:val="22"/>
          <w:szCs w:val="22"/>
          <w:lang w:bidi="hi-IN"/>
        </w:rPr>
        <w:t>s</w:t>
      </w:r>
      <w:r w:rsidRPr="00D92BC6">
        <w:rPr>
          <w:rFonts w:ascii="Arial" w:hAnsi="Arial" w:cs="ArialMT"/>
          <w:sz w:val="22"/>
          <w:szCs w:val="22"/>
          <w:lang w:bidi="hi-IN"/>
        </w:rPr>
        <w:t>ifikacijo) vseh postavljenih hipotez.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Zbiranje in obdelava podatkov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Podatke zbiramo na ustreznem vzorcu. Število udeležencev v raziskavi je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odvisno od vrste problema in njihove dostopnosti (npr. če raziskujemo stališča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srednješolcev do nekega pojava, je priporočeno število udeležencev okrog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50).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Zbrane podatke ustrezno uredimo in obdelamo s preprostimi statističnimi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postopki, ki so opredeljeni s cilji v katalogu.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Pisanje seminarske naloge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Napotki za pisanje – navedba in opis obveznih sestavin seminarske naloge –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so zapisani v poglavju 6.4</w:t>
      </w:r>
      <w:r>
        <w:rPr>
          <w:rFonts w:ascii="Arial" w:hAnsi="Arial" w:cs="ArialMT"/>
          <w:sz w:val="22"/>
          <w:szCs w:val="22"/>
          <w:lang w:bidi="hi-IN"/>
        </w:rPr>
        <w:t xml:space="preserve"> v maturitetnem katalogu</w:t>
      </w:r>
      <w:r w:rsidRPr="00D92BC6">
        <w:rPr>
          <w:rFonts w:ascii="Arial" w:hAnsi="Arial" w:cs="ArialMT"/>
          <w:sz w:val="22"/>
          <w:szCs w:val="22"/>
          <w:lang w:bidi="hi-IN"/>
        </w:rPr>
        <w:t>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 w:rsidRPr="00D92BC6">
        <w:rPr>
          <w:rFonts w:ascii="Arial" w:hAnsi="Arial" w:cs="ArialBlack"/>
          <w:b/>
          <w:bCs/>
          <w:sz w:val="26"/>
          <w:szCs w:val="26"/>
          <w:lang w:bidi="hi-IN"/>
        </w:rPr>
        <w:t>Obseg in oblika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Priporočeni obseg seminarske naloge je 10–15 strani brez prilog.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Kandidat uporabi pisavo Times New Roman, velikost črk 12, razmik med vrsticami je enojen ali 1,5.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Besedilo (razen naslovnice) je poravnano obojestransko. Predlog ureditve robov: robovi desno, zgoraj</w:t>
      </w:r>
      <w:r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 xml:space="preserve">in spodaj naj bodo </w:t>
      </w:r>
      <w:smartTag w:uri="urn:schemas-microsoft-com:office:smarttags" w:element="metricconverter">
        <w:smartTagPr>
          <w:attr w:name="ProductID" w:val="2 cm"/>
        </w:smartTagPr>
        <w:r w:rsidRPr="00D92BC6">
          <w:rPr>
            <w:rFonts w:ascii="Arial" w:hAnsi="Arial" w:cs="ArialMT"/>
            <w:sz w:val="22"/>
            <w:szCs w:val="22"/>
            <w:lang w:bidi="hi-IN"/>
          </w:rPr>
          <w:t>2 cm</w:t>
        </w:r>
      </w:smartTag>
      <w:r w:rsidRPr="00D92BC6">
        <w:rPr>
          <w:rFonts w:ascii="Arial" w:hAnsi="Arial" w:cs="ArialMT"/>
          <w:sz w:val="22"/>
          <w:szCs w:val="22"/>
          <w:lang w:bidi="hi-IN"/>
        </w:rPr>
        <w:t xml:space="preserve">, rob levo pa </w:t>
      </w:r>
      <w:smartTag w:uri="urn:schemas-microsoft-com:office:smarttags" w:element="metricconverter">
        <w:smartTagPr>
          <w:attr w:name="ProductID" w:val="2 cm"/>
        </w:smartTagPr>
        <w:r w:rsidRPr="00D92BC6">
          <w:rPr>
            <w:rFonts w:ascii="Arial" w:hAnsi="Arial" w:cs="ArialMT"/>
            <w:sz w:val="22"/>
            <w:szCs w:val="22"/>
            <w:lang w:bidi="hi-IN"/>
          </w:rPr>
          <w:t>2 cm</w:t>
        </w:r>
      </w:smartTag>
      <w:r w:rsidRPr="00D92BC6">
        <w:rPr>
          <w:rFonts w:ascii="Arial" w:hAnsi="Arial" w:cs="ArialMT"/>
          <w:sz w:val="22"/>
          <w:szCs w:val="22"/>
          <w:lang w:bidi="hi-IN"/>
        </w:rPr>
        <w:t xml:space="preserve"> in </w:t>
      </w:r>
      <w:smartTag w:uri="urn:schemas-microsoft-com:office:smarttags" w:element="metricconverter">
        <w:smartTagPr>
          <w:attr w:name="ProductID" w:val="1 cm"/>
        </w:smartTagPr>
        <w:r w:rsidRPr="00D92BC6">
          <w:rPr>
            <w:rFonts w:ascii="Arial" w:hAnsi="Arial" w:cs="ArialMT"/>
            <w:sz w:val="22"/>
            <w:szCs w:val="22"/>
            <w:lang w:bidi="hi-IN"/>
          </w:rPr>
          <w:t>1 cm</w:t>
        </w:r>
      </w:smartTag>
      <w:r w:rsidRPr="00D92BC6">
        <w:rPr>
          <w:rFonts w:ascii="Arial" w:hAnsi="Arial" w:cs="ArialMT"/>
          <w:sz w:val="22"/>
          <w:szCs w:val="22"/>
          <w:lang w:bidi="hi-IN"/>
        </w:rPr>
        <w:t xml:space="preserve"> za vezavo.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Kandidat odda seminarsko nalogo v elektronski obliki na zgoščenki in natisnjeno v spiralni vezavi.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>
        <w:rPr>
          <w:rFonts w:ascii="Arial" w:hAnsi="Arial" w:cs="ArialBlack"/>
          <w:sz w:val="22"/>
          <w:szCs w:val="22"/>
          <w:lang w:bidi="hi-IN"/>
        </w:rPr>
        <w:br w:type="page"/>
      </w:r>
      <w:r w:rsidRPr="00D92BC6">
        <w:rPr>
          <w:rFonts w:ascii="Arial" w:hAnsi="Arial" w:cs="ArialBlack"/>
          <w:b/>
          <w:bCs/>
          <w:sz w:val="26"/>
          <w:szCs w:val="26"/>
          <w:lang w:bidi="hi-IN"/>
        </w:rPr>
        <w:lastRenderedPageBreak/>
        <w:t>Sestavine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Seminarska naloga vsebuje: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naslov,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kazalo,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SymbolMT"/>
          <w:sz w:val="22"/>
          <w:szCs w:val="22"/>
          <w:lang w:bidi="hi-IN"/>
        </w:rPr>
        <w:t xml:space="preserve">− </w:t>
      </w:r>
      <w:r w:rsidRPr="00D92BC6">
        <w:rPr>
          <w:rFonts w:ascii="Arial" w:hAnsi="Arial" w:cs="ArialMT"/>
          <w:sz w:val="22"/>
          <w:szCs w:val="22"/>
          <w:lang w:bidi="hi-IN"/>
        </w:rPr>
        <w:t>povzetek in ključne besede.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b/>
          <w:bCs/>
          <w:i/>
          <w:iCs/>
          <w:sz w:val="22"/>
          <w:szCs w:val="22"/>
          <w:lang w:bidi="hi-IN"/>
        </w:rPr>
      </w:pPr>
      <w:r w:rsidRPr="00D92BC6">
        <w:rPr>
          <w:rFonts w:ascii="Arial" w:hAnsi="Arial" w:cs="ArialMT"/>
          <w:b/>
          <w:bCs/>
          <w:i/>
          <w:iCs/>
          <w:sz w:val="22"/>
          <w:szCs w:val="22"/>
          <w:lang w:bidi="hi-IN"/>
        </w:rPr>
        <w:t>Poglavja: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1. problem naloge,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2. teoretični uvod,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3. cilji in hipoteze,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4. metoda,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5. rezultati,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6. interpretacija,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7. sklepi,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8. viri,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9. priloge.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 w:rsidRPr="00F42D66">
        <w:rPr>
          <w:rFonts w:ascii="Arial" w:hAnsi="Arial" w:cs="ArialBlack"/>
          <w:b/>
          <w:bCs/>
          <w:sz w:val="26"/>
          <w:szCs w:val="26"/>
          <w:lang w:bidi="hi-IN"/>
        </w:rPr>
        <w:t>Napotki o obsegu in vsebini posamezne sestavine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Naslov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Zajema naj bistvo seminarske naloge, naj bo dovolj konkreten in ne preveč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obsežen.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Kazalo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 kazalo je treba vpisati vse dele: poglavja in druge elemente seminarske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naloge. Označeni naj bodo enako kakor v sami seminarski nalogi (npr. z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decimalno klasifikacijo). Poleg naslovov posameznih delov mora biti navedena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stran, na kateri se začenjajo.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Povzetek in ključne besede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Povzetek vsebuje kratko predstavitev problema in izsledkov seminarske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 (250–300 besed).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Kandidat navede pet ključnih besed, ki opredeljujejo vsebino seminarske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 (npr. pri nalogi »Povezanost učnih strategij z učnim uspehom pri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gimnazijcih« bi bile lahko ključne besede: učne strategije, učni uspeh,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gimnazijci, dejavniki učenja, razlike med spoloma).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Povzetek in ključne besede naj bodo zapisani </w:t>
      </w:r>
      <w:r w:rsidRPr="00F42D66">
        <w:rPr>
          <w:rFonts w:ascii="Arial" w:hAnsi="Arial" w:cs="ArialMT"/>
          <w:sz w:val="22"/>
          <w:szCs w:val="22"/>
          <w:u w:val="single"/>
          <w:lang w:bidi="hi-IN"/>
        </w:rPr>
        <w:t>ločeno</w:t>
      </w:r>
      <w:r w:rsidRPr="00D92BC6">
        <w:rPr>
          <w:rFonts w:ascii="Arial" w:hAnsi="Arial" w:cs="ArialMT"/>
          <w:sz w:val="22"/>
          <w:szCs w:val="22"/>
          <w:lang w:bidi="hi-IN"/>
        </w:rPr>
        <w:t>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Opredelitev problema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 opredelitvi problema na približno pol strani kandidat opiše razloge za izbiro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teme seminarske naloge in v skladu z naslovom jasno opredeli področje, ki ga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bo raziskoval.</w:t>
      </w:r>
    </w:p>
    <w:p w:rsidR="00D92BC6" w:rsidRP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>
        <w:rPr>
          <w:rFonts w:ascii="Arial" w:hAnsi="Arial" w:cs="ArialBlack"/>
          <w:b/>
          <w:bCs/>
          <w:sz w:val="22"/>
          <w:szCs w:val="22"/>
          <w:lang w:bidi="hi-IN"/>
        </w:rPr>
        <w:br w:type="page"/>
      </w:r>
      <w:r w:rsidR="00D92BC6" w:rsidRPr="00F42D66">
        <w:rPr>
          <w:rFonts w:ascii="Arial" w:hAnsi="Arial" w:cs="ArialBlack"/>
          <w:b/>
          <w:bCs/>
          <w:sz w:val="22"/>
          <w:szCs w:val="22"/>
          <w:lang w:bidi="hi-IN"/>
        </w:rPr>
        <w:lastRenderedPageBreak/>
        <w:t>Teoretični uvod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 tem delu kandidat predstavi in poveže v smiselno celoto informacije o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problemu seminarske naloge, ki jih najde v virih. Priporočljivi obseg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teoretičnega uvoda je okoli pet strani.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Uporabljeni viri naj bodo vezani na problem in izvedbo seminarske naloge.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Cilji in hipoteze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Cilji izhajajo iz problema seminarske naloge in pomenijo konkretna vprašanja,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 katera želi kandidat v nalogi odgovoriti.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Kot možne odgovore na vprašanja, ki si jih je v seminarski nalogi zastavil,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lahko oblikuje ničelne ali alternativne hipoteze. Pri odločanju za eno ali drugo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vrsto hipotez naj upošteva predvsem spoznanja o preučevanem problemu iz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literature ali morebitne lastne izkušnje. Priporočljivo število je 3–5 preverjanih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hipotez v seminarski nalogi.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Metoda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Poglavje obsega: opis vzorca raziskave, opis merskih instrumentov in opis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postopka zbiranja podatkov. Ti deli naj bodo označeni z ustreznimi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podnaslovi.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Pri predstavitvi merskih instrumentov naj bo poudarjeno, kakšna je bila lastna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udeležba pri tem (avtorstvo, priredba).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Rezultati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Dobljeni rezultati morajo biti urejeni ter predstavljeni s tabelami in grafi tako,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da so razvidne njihove glavne značilnosti in odnosi med njimi.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Izračunov kandidat v tem poglavju ne navaja, ampak naj bistvene doda na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koncu seminarske naloge kot prilogo.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Interpretacija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Interpretirati raziskovalne rezultate pomeni razložiti in pojasniti odnose med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njimi ter jih povezati s cilji raziskave in širšimi psihološkimi spoznanji, ki so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predstavljena v teoretičnem uvodu. Kandidat mora pri tem pokazati tudi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sposobnost presojanja rezultatov glede na postavljene hipoteze.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Oba dela »Rezultati« in »Interpretacija« sta lahko združena v skupno poglavje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»Rezultati in interpretacija«. To pomeni, da kandidat predstavljene rezultate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sproti razloži.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Sklepi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 sklepih naj bodo kratko povzeta bistvena vprašanja, ki si jih je kandidat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zastavil, in ugotovitve, ki izhajajo iz rezultatov. Te naj bodo predstavljene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glede na cilje in hipoteze ter vrednotene glede na širša psihološka spoznanja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(npr. ugotovitve o povezanosti učnih strategij in učnega uspeha pri gimnazijcih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se ujemajo/ne ujemajo z rezultati raziskave, navedene v teoretičnem uvodu).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Kandidat opozori tudi na prednosti in morebitne pomanjkljivosti seminarske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naloge, predlaga izboljšave in oceni njeno uporabno vrednost.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sz w:val="22"/>
          <w:szCs w:val="22"/>
          <w:lang w:bidi="hi-IN"/>
        </w:rPr>
        <w:t>Viri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Kandidat naj izbira vire predvsem iz ustrezne psihološke literature. Poljudni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članki iz revij in s spleta niso ustrezni strokovni viri.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Napotki za citiranje in navajanje virov so opisani v poglavju »Navedba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literature«.</w:t>
      </w:r>
    </w:p>
    <w:p w:rsidR="00D92BC6" w:rsidRP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2"/>
          <w:szCs w:val="22"/>
          <w:lang w:bidi="hi-IN"/>
        </w:rPr>
      </w:pPr>
      <w:r>
        <w:rPr>
          <w:rFonts w:ascii="Arial" w:hAnsi="Arial" w:cs="ArialBlack"/>
          <w:b/>
          <w:bCs/>
          <w:sz w:val="22"/>
          <w:szCs w:val="22"/>
          <w:lang w:bidi="hi-IN"/>
        </w:rPr>
        <w:br w:type="page"/>
      </w:r>
      <w:r w:rsidR="00D92BC6" w:rsidRPr="00F42D66">
        <w:rPr>
          <w:rFonts w:ascii="Arial" w:hAnsi="Arial" w:cs="ArialBlack"/>
          <w:b/>
          <w:bCs/>
          <w:sz w:val="22"/>
          <w:szCs w:val="22"/>
          <w:lang w:bidi="hi-IN"/>
        </w:rPr>
        <w:t>Priloge</w:t>
      </w:r>
    </w:p>
    <w:p w:rsid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Na koncu so kot poseben del seminarske naloge dodane priloge. Kandidat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mora v njih dodati izvod merskega instrumenta ali gradivo, ki ga je v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seminarski nalogi kvalitativno obdelal (npr. zapisnike opazovanja, zapiske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intervjujev). Dodane priloge so lahko tudi izrač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uni, dodatni </w:t>
      </w:r>
      <w:r w:rsidRPr="00D92BC6">
        <w:rPr>
          <w:rFonts w:ascii="Arial" w:hAnsi="Arial" w:cs="ArialMT"/>
          <w:sz w:val="22"/>
          <w:szCs w:val="22"/>
          <w:lang w:bidi="hi-IN"/>
        </w:rPr>
        <w:t>grafi itd.</w:t>
      </w:r>
    </w:p>
    <w:p w:rsidR="00F42D66" w:rsidRPr="00D92BC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 w:rsidRPr="00F42D66">
        <w:rPr>
          <w:rFonts w:ascii="Arial" w:hAnsi="Arial" w:cs="ArialBlack"/>
          <w:b/>
          <w:bCs/>
          <w:sz w:val="26"/>
          <w:szCs w:val="26"/>
          <w:lang w:bidi="hi-IN"/>
        </w:rPr>
        <w:t>Navedba literature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Viri morajo biti v besedilu navedeni ustrezno in natanč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no. Dobesedne navedbe moramo </w:t>
      </w:r>
      <w:r w:rsidRPr="00D92BC6">
        <w:rPr>
          <w:rFonts w:ascii="Arial" w:hAnsi="Arial" w:cs="ArialMT"/>
          <w:sz w:val="22"/>
          <w:szCs w:val="22"/>
          <w:lang w:bidi="hi-IN"/>
        </w:rPr>
        <w:t>označiti z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narekovaji in z navedbo avtorja citata. V okroglem oklepaju za citatom navedemo priimek avtorja, leto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izdaje knjige in stran, npr.: (Marentič Pož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arnik, 2000, str. 153). Z </w:t>
      </w:r>
      <w:r w:rsidRPr="00D92BC6">
        <w:rPr>
          <w:rFonts w:ascii="Arial" w:hAnsi="Arial" w:cs="ArialMT"/>
          <w:sz w:val="22"/>
          <w:szCs w:val="22"/>
          <w:lang w:bidi="hi-IN"/>
        </w:rPr>
        <w:t>navedbo avtorja označimo tudi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pomembne povzetke iz virov, npr. (Hill, 2001) ali (Goleman; cit. Pečjak in Avsec, 2003).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 seznamu virov na konc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u seminarske naloge morajo biti </w:t>
      </w:r>
      <w:r w:rsidRPr="00D92BC6">
        <w:rPr>
          <w:rFonts w:ascii="Arial" w:hAnsi="Arial" w:cs="ArialMT"/>
          <w:sz w:val="22"/>
          <w:szCs w:val="22"/>
          <w:lang w:bidi="hi-IN"/>
        </w:rPr>
        <w:t>navedeni vsi viri, ki jih je kandidat pri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pisanju seminarske naloge uporabil.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Viri se navedejo po abecedni razvrstitvi avtorjev. Če je avtorjev več, upoštevamo tistega, ki je napisan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na prvem mestu.</w:t>
      </w:r>
    </w:p>
    <w:p w:rsid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Navajanje knjig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Hill, G. (2001).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Psihologija: shematski pregledi</w:t>
      </w:r>
      <w:r w:rsidRPr="00D92BC6">
        <w:rPr>
          <w:rFonts w:ascii="Arial" w:hAnsi="Arial" w:cs="ArialMT"/>
          <w:sz w:val="22"/>
          <w:szCs w:val="22"/>
          <w:lang w:bidi="hi-IN"/>
        </w:rPr>
        <w:t>. Ljubljana: Tehniška založba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Slovenije.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Hayes, N., in Orrell, S. (1998).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 xml:space="preserve">Psihologija. </w:t>
      </w:r>
      <w:r w:rsidRPr="00D92BC6">
        <w:rPr>
          <w:rFonts w:ascii="Arial" w:hAnsi="Arial" w:cs="ArialMT"/>
          <w:sz w:val="22"/>
          <w:szCs w:val="22"/>
          <w:lang w:bidi="hi-IN"/>
        </w:rPr>
        <w:t>Ljubljana: Zavod RS za šolstvo.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-ItalicMT"/>
          <w:i/>
          <w:iCs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Papalia, D. E., Wendkos Olds, S., in Duskin Feldman, R. (2003).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Otrokov svet:</w:t>
      </w:r>
      <w:r w:rsidR="00F42D66">
        <w:rPr>
          <w:rFonts w:ascii="Arial" w:hAnsi="Arial" w:cs="Arial-ItalicMT"/>
          <w:i/>
          <w:iCs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 xml:space="preserve">otrokov razvoj od spočetja do konca mladostništva. </w:t>
      </w:r>
      <w:r w:rsidRPr="00D92BC6">
        <w:rPr>
          <w:rFonts w:ascii="Arial" w:hAnsi="Arial" w:cs="ArialMT"/>
          <w:sz w:val="22"/>
          <w:szCs w:val="22"/>
          <w:lang w:bidi="hi-IN"/>
        </w:rPr>
        <w:t>Ljubljana: Educy.</w:t>
      </w:r>
    </w:p>
    <w:p w:rsid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Navajanje poglavja avtorja v knjigi z urednikom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Fekonja, U. (2004). Razvoj otroške igre. V: L. Marjanovič Umek in M.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 xml:space="preserve">Zupančič (ur.),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 xml:space="preserve">Razvojna psihologija </w:t>
      </w:r>
      <w:r w:rsidRPr="00D92BC6">
        <w:rPr>
          <w:rFonts w:ascii="Arial" w:hAnsi="Arial" w:cs="ArialMT"/>
          <w:sz w:val="22"/>
          <w:szCs w:val="22"/>
          <w:lang w:bidi="hi-IN"/>
        </w:rPr>
        <w:t>(str. 382–393). Ljubljana: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Znanstvenoraziskovalni inštitut Filozofske fakultete.</w:t>
      </w:r>
    </w:p>
    <w:p w:rsid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Navajanje člankov v serijski publikaciji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Pečjak, S., in Avsec, A. (2003). Konstrukt emocionalne inteligentnosti.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Psihološka obzorja</w:t>
      </w:r>
      <w:r w:rsidRPr="00D92BC6">
        <w:rPr>
          <w:rFonts w:ascii="Arial" w:hAnsi="Arial" w:cs="ArialMT"/>
          <w:sz w:val="22"/>
          <w:szCs w:val="22"/>
          <w:lang w:bidi="hi-IN"/>
        </w:rPr>
        <w:t>, let. 12, št. 1, str. 55–66.</w:t>
      </w:r>
    </w:p>
    <w:p w:rsidR="00F42D66" w:rsidRDefault="00F42D6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sz w:val="22"/>
          <w:szCs w:val="22"/>
          <w:lang w:bidi="hi-IN"/>
        </w:rPr>
      </w:pP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</w:pPr>
      <w:r w:rsidRPr="00F42D66">
        <w:rPr>
          <w:rFonts w:ascii="Arial" w:hAnsi="Arial" w:cs="ArialBlack"/>
          <w:b/>
          <w:bCs/>
          <w:i/>
          <w:iCs/>
          <w:sz w:val="22"/>
          <w:szCs w:val="22"/>
          <w:lang w:bidi="hi-IN"/>
        </w:rPr>
        <w:t>Navajanje elektronskih virov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-ItalicMT"/>
          <w:i/>
          <w:iCs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 xml:space="preserve">Zimbardo, P. G. (1999–2009).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>The Stanford Prison Experiment: A Simulation</w:t>
      </w:r>
      <w:r w:rsidR="00F42D66">
        <w:rPr>
          <w:rFonts w:ascii="Arial" w:hAnsi="Arial" w:cs="Arial-ItalicMT"/>
          <w:i/>
          <w:iCs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-ItalicMT"/>
          <w:i/>
          <w:iCs/>
          <w:sz w:val="22"/>
          <w:szCs w:val="22"/>
          <w:lang w:bidi="hi-IN"/>
        </w:rPr>
        <w:t xml:space="preserve">Study of the Psychology of Imprisonment </w:t>
      </w:r>
      <w:r w:rsidRPr="00D92BC6">
        <w:rPr>
          <w:rFonts w:ascii="Arial" w:hAnsi="Arial" w:cs="ArialMT"/>
          <w:sz w:val="22"/>
          <w:szCs w:val="22"/>
          <w:lang w:bidi="hi-IN"/>
        </w:rPr>
        <w:t>(citirano 2. 9. 2009). Dostopno na</w:t>
      </w:r>
      <w:r w:rsidR="00F42D66">
        <w:rPr>
          <w:rFonts w:ascii="Arial" w:hAnsi="Arial" w:cs="Arial-ItalicMT"/>
          <w:i/>
          <w:iCs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spletnem naslovu: http://www.prisonexp.org.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Če elektronski vir ne vsebuje letnice, v oklepaju napišemo »brez letnice«, če ne vsebuje navedbe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avtorja, navedemo le naslov, datum citiranja s spleta in dostopnost na spletu.</w:t>
      </w:r>
    </w:p>
    <w:p w:rsidR="00D92BC6" w:rsidRPr="00F42D6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Black"/>
          <w:b/>
          <w:bCs/>
          <w:sz w:val="26"/>
          <w:szCs w:val="26"/>
          <w:lang w:bidi="hi-IN"/>
        </w:rPr>
      </w:pPr>
      <w:r w:rsidRPr="00F42D66">
        <w:rPr>
          <w:rFonts w:ascii="Arial" w:hAnsi="Arial" w:cs="ArialBlack"/>
          <w:b/>
          <w:bCs/>
          <w:sz w:val="26"/>
          <w:szCs w:val="26"/>
          <w:lang w:bidi="hi-IN"/>
        </w:rPr>
        <w:t>Učiteljeva pomoč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Učitelj kandidatu pomaga tako, da se uveljavijo merila za ocenjevanje seminarske naloge.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Njegova vloga je: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a) vodenje kandidata pri izbiri in omejitvi problema seminarske naloge,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b) svetovanje pri iskanju ustreznih virov,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c) predlaganje možnih raziskovalnih postopkov, svetovanje ob težavah, na</w:t>
      </w:r>
      <w:r w:rsidR="00F42D66">
        <w:rPr>
          <w:rFonts w:ascii="Arial" w:hAnsi="Arial" w:cs="ArialMT"/>
          <w:sz w:val="22"/>
          <w:szCs w:val="22"/>
          <w:lang w:bidi="hi-IN"/>
        </w:rPr>
        <w:t xml:space="preserve"> </w:t>
      </w:r>
      <w:r w:rsidRPr="00D92BC6">
        <w:rPr>
          <w:rFonts w:ascii="Arial" w:hAnsi="Arial" w:cs="ArialMT"/>
          <w:sz w:val="22"/>
          <w:szCs w:val="22"/>
          <w:lang w:bidi="hi-IN"/>
        </w:rPr>
        <w:t>katere naleti kandidat,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d) uvajanje kandidata v načela psihološke etike,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e) spremljanje kandidatovega samostojnega opravljanja seminarske naloge.</w:t>
      </w:r>
    </w:p>
    <w:p w:rsidR="00D92BC6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 w:cs="ArialMT"/>
          <w:sz w:val="22"/>
          <w:szCs w:val="22"/>
          <w:lang w:bidi="hi-IN"/>
        </w:rPr>
      </w:pPr>
      <w:r w:rsidRPr="00D92BC6">
        <w:rPr>
          <w:rFonts w:ascii="Arial" w:hAnsi="Arial" w:cs="ArialMT"/>
          <w:sz w:val="22"/>
          <w:szCs w:val="22"/>
          <w:lang w:bidi="hi-IN"/>
        </w:rPr>
        <w:t>Če učitelj meni, da seminarska naloga ni izdelana samostojno, ravna v skladu z ustreznim</w:t>
      </w:r>
    </w:p>
    <w:p w:rsidR="00C22DA1" w:rsidRPr="00D92BC6" w:rsidRDefault="00D92BC6" w:rsidP="00D92BC6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D92BC6">
        <w:rPr>
          <w:rFonts w:ascii="Arial" w:hAnsi="Arial" w:cs="ArialMT"/>
          <w:sz w:val="22"/>
          <w:szCs w:val="22"/>
          <w:lang w:bidi="hi-IN"/>
        </w:rPr>
        <w:t>podzakonskim predpisom splošne mature, ki ga sprejme DK SM.</w:t>
      </w:r>
    </w:p>
    <w:sectPr w:rsidR="00C22DA1" w:rsidRPr="00D92BC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AC" w:rsidRDefault="006102AC">
      <w:r>
        <w:separator/>
      </w:r>
    </w:p>
  </w:endnote>
  <w:endnote w:type="continuationSeparator" w:id="0">
    <w:p w:rsidR="006102AC" w:rsidRDefault="0061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AC" w:rsidRDefault="006102AC" w:rsidP="00610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2AC" w:rsidRDefault="006102AC" w:rsidP="006102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AC" w:rsidRDefault="006102AC" w:rsidP="00610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D66">
      <w:rPr>
        <w:rStyle w:val="PageNumber"/>
        <w:noProof/>
      </w:rPr>
      <w:t>1</w:t>
    </w:r>
    <w:r>
      <w:rPr>
        <w:rStyle w:val="PageNumber"/>
      </w:rPr>
      <w:fldChar w:fldCharType="end"/>
    </w:r>
  </w:p>
  <w:p w:rsidR="006102AC" w:rsidRDefault="006102AC" w:rsidP="00610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AC" w:rsidRDefault="006102AC">
      <w:r>
        <w:separator/>
      </w:r>
    </w:p>
  </w:footnote>
  <w:footnote w:type="continuationSeparator" w:id="0">
    <w:p w:rsidR="006102AC" w:rsidRDefault="0061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A1"/>
    <w:rsid w:val="006102AC"/>
    <w:rsid w:val="006F6BF6"/>
    <w:rsid w:val="00C22DA1"/>
    <w:rsid w:val="00D92BC6"/>
    <w:rsid w:val="00E25044"/>
    <w:rsid w:val="00F42D66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102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1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1875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