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7764" w:rsidRPr="00293472" w:rsidRDefault="00907764">
      <w:pPr>
        <w:rPr>
          <w:b/>
          <w:sz w:val="28"/>
          <w:szCs w:val="28"/>
        </w:rPr>
      </w:pPr>
      <w:bookmarkStart w:id="0" w:name="_GoBack"/>
      <w:bookmarkEnd w:id="0"/>
      <w:r w:rsidRPr="00293472">
        <w:rPr>
          <w:b/>
          <w:sz w:val="28"/>
          <w:szCs w:val="28"/>
        </w:rPr>
        <w:t>PRAVNI PREDPISI V GOSTINSTVU</w:t>
      </w:r>
    </w:p>
    <w:p w:rsidR="00907764" w:rsidRDefault="00907764"/>
    <w:p w:rsidR="00907764" w:rsidRPr="00293472" w:rsidRDefault="00907764" w:rsidP="00907764">
      <w:pPr>
        <w:numPr>
          <w:ilvl w:val="0"/>
          <w:numId w:val="1"/>
        </w:numPr>
        <w:rPr>
          <w:b/>
        </w:rPr>
      </w:pPr>
      <w:r w:rsidRPr="00293472">
        <w:rPr>
          <w:b/>
        </w:rPr>
        <w:t>ZAKON O VARNOSTI IN ZDRAVJU PRI DELU</w:t>
      </w:r>
    </w:p>
    <w:p w:rsidR="00907764" w:rsidRDefault="00907764" w:rsidP="00907764">
      <w:pPr>
        <w:ind w:left="708"/>
      </w:pPr>
      <w:r>
        <w:t>Zakon nalaga delodajalcu:</w:t>
      </w:r>
    </w:p>
    <w:p w:rsidR="00907764" w:rsidRDefault="00907764" w:rsidP="00907764">
      <w:pPr>
        <w:numPr>
          <w:ilvl w:val="1"/>
          <w:numId w:val="1"/>
        </w:numPr>
      </w:pPr>
      <w:r>
        <w:t>poskrbeti za varnost v vseh pogledih (protipožarna varnost, evakuacija, prva pomoč)</w:t>
      </w:r>
    </w:p>
    <w:p w:rsidR="00907764" w:rsidRDefault="00907764" w:rsidP="00907764">
      <w:pPr>
        <w:numPr>
          <w:ilvl w:val="1"/>
          <w:numId w:val="1"/>
        </w:numPr>
      </w:pPr>
      <w:r>
        <w:t>zagotoviti zdravstvene preglede delavcev</w:t>
      </w:r>
    </w:p>
    <w:p w:rsidR="00907764" w:rsidRDefault="00907764" w:rsidP="00907764">
      <w:pPr>
        <w:numPr>
          <w:ilvl w:val="1"/>
          <w:numId w:val="1"/>
        </w:numPr>
      </w:pPr>
      <w:r>
        <w:t>navodila in usposabljanje za varno delo (predpisana oprema, obleka)</w:t>
      </w:r>
    </w:p>
    <w:p w:rsidR="00907764" w:rsidRDefault="00907764" w:rsidP="00907764">
      <w:pPr>
        <w:numPr>
          <w:ilvl w:val="1"/>
          <w:numId w:val="1"/>
        </w:numPr>
      </w:pPr>
      <w:r>
        <w:t>periodične preiskave delovnega okolja</w:t>
      </w:r>
    </w:p>
    <w:p w:rsidR="00907764" w:rsidRPr="00293472" w:rsidRDefault="00907764" w:rsidP="00907764">
      <w:pPr>
        <w:rPr>
          <w:b/>
        </w:rPr>
      </w:pPr>
    </w:p>
    <w:p w:rsidR="00907764" w:rsidRPr="00293472" w:rsidRDefault="00907764" w:rsidP="00907764">
      <w:pPr>
        <w:numPr>
          <w:ilvl w:val="0"/>
          <w:numId w:val="1"/>
        </w:numPr>
        <w:rPr>
          <w:b/>
        </w:rPr>
      </w:pPr>
      <w:r w:rsidRPr="00293472">
        <w:rPr>
          <w:b/>
        </w:rPr>
        <w:t>ZAKON O SPODBUJANJU RAZVOJA TURIZMA</w:t>
      </w:r>
    </w:p>
    <w:p w:rsidR="00907764" w:rsidRDefault="00907764" w:rsidP="00907764">
      <w:pPr>
        <w:ind w:left="708"/>
      </w:pPr>
      <w:r>
        <w:t>S tem zakonom spodbuja, načrtuje in izvaja razvoj turizma na lokalni in nacionalni ravni. Turizem je dejavnost, ki se izvaja v javnem interesu in ima ugoden vpliv na celotni gospodarski in družbeni razvoj.</w:t>
      </w:r>
    </w:p>
    <w:p w:rsidR="00907764" w:rsidRDefault="00907764" w:rsidP="00907764">
      <w:pPr>
        <w:ind w:left="708"/>
      </w:pPr>
      <w:r>
        <w:t>Za te vzpodbude skrbijo: ministrstvo za gospodarstvo, STO, lokalne turistične zveze in društva oz. vsaka občina zase.</w:t>
      </w:r>
    </w:p>
    <w:p w:rsidR="00907764" w:rsidRDefault="00907764" w:rsidP="00907764">
      <w:pPr>
        <w:ind w:left="708"/>
      </w:pPr>
    </w:p>
    <w:p w:rsidR="00907764" w:rsidRDefault="00907764" w:rsidP="00907764">
      <w:pPr>
        <w:ind w:left="708"/>
      </w:pPr>
      <w:r>
        <w:t>Turistična taksa – plača jo vsak turist za vsak dan bivanja v turističnem kraju. Predstavlja občinski prihodek, s katerim se financirajo vse storitve, ki jih turisti dobijo zastonj (inf. servisi, pešpoti, kolesarske steze, promocijska gradiva, table, prireditve, vzdrževanje parkov…)</w:t>
      </w:r>
    </w:p>
    <w:p w:rsidR="00907764" w:rsidRDefault="00907764" w:rsidP="00907764">
      <w:pPr>
        <w:ind w:left="708"/>
      </w:pPr>
      <w:r>
        <w:t>Turisti s tem, ko plačajo to takso posredno plačajo vse javne storitve.</w:t>
      </w:r>
    </w:p>
    <w:p w:rsidR="00907764" w:rsidRPr="00293472" w:rsidRDefault="00907764" w:rsidP="00907764">
      <w:pPr>
        <w:rPr>
          <w:b/>
        </w:rPr>
      </w:pPr>
    </w:p>
    <w:p w:rsidR="00907764" w:rsidRPr="00293472" w:rsidRDefault="00907764" w:rsidP="00907764">
      <w:pPr>
        <w:numPr>
          <w:ilvl w:val="0"/>
          <w:numId w:val="1"/>
        </w:numPr>
        <w:rPr>
          <w:b/>
        </w:rPr>
      </w:pPr>
      <w:r w:rsidRPr="00293472">
        <w:rPr>
          <w:b/>
        </w:rPr>
        <w:t>ZAKON O GOSTINSTVU</w:t>
      </w:r>
    </w:p>
    <w:p w:rsidR="00907764" w:rsidRDefault="00907764" w:rsidP="00907764">
      <w:pPr>
        <w:ind w:left="708"/>
      </w:pPr>
      <w:r>
        <w:t>Zakon določa:</w:t>
      </w:r>
    </w:p>
    <w:p w:rsidR="00907764" w:rsidRDefault="00907764" w:rsidP="00907764">
      <w:pPr>
        <w:numPr>
          <w:ilvl w:val="1"/>
          <w:numId w:val="1"/>
        </w:numPr>
      </w:pPr>
      <w:r>
        <w:t>kaj je gostinska dejavnost</w:t>
      </w:r>
    </w:p>
    <w:p w:rsidR="00907764" w:rsidRDefault="00907764" w:rsidP="00907764">
      <w:pPr>
        <w:numPr>
          <w:ilvl w:val="1"/>
          <w:numId w:val="1"/>
        </w:numPr>
      </w:pPr>
      <w:r>
        <w:t>kdo jo lahko opravlja (katere pogoje mora izpolnjevati, pridobiti uporabno dovoljenje za objekt (pravilniki)</w:t>
      </w:r>
    </w:p>
    <w:p w:rsidR="00907764" w:rsidRDefault="00907764" w:rsidP="00907764">
      <w:pPr>
        <w:numPr>
          <w:ilvl w:val="1"/>
          <w:numId w:val="1"/>
        </w:numPr>
      </w:pPr>
      <w:r>
        <w:t>kje se lahko opravlja (zunaj, notri, premični objekti)</w:t>
      </w:r>
    </w:p>
    <w:p w:rsidR="00907764" w:rsidRDefault="00907764" w:rsidP="00907764">
      <w:pPr>
        <w:numPr>
          <w:ilvl w:val="1"/>
          <w:numId w:val="1"/>
        </w:numPr>
      </w:pPr>
      <w:r>
        <w:t>inšpekcijski nadzor (delovni, tržni, zdravstveni – nadzor izvajanja predpisov)</w:t>
      </w:r>
    </w:p>
    <w:p w:rsidR="00907764" w:rsidRDefault="00907764" w:rsidP="00907764">
      <w:pPr>
        <w:numPr>
          <w:ilvl w:val="1"/>
          <w:numId w:val="1"/>
        </w:numPr>
      </w:pPr>
      <w:r>
        <w:t>minimalne storitve v posameznih GO</w:t>
      </w:r>
    </w:p>
    <w:p w:rsidR="00A269EC" w:rsidRPr="00293472" w:rsidRDefault="00A269EC" w:rsidP="00A269EC">
      <w:pPr>
        <w:rPr>
          <w:b/>
        </w:rPr>
      </w:pPr>
    </w:p>
    <w:p w:rsidR="00A269EC" w:rsidRPr="00293472" w:rsidRDefault="00A269EC" w:rsidP="00A269EC">
      <w:pPr>
        <w:numPr>
          <w:ilvl w:val="0"/>
          <w:numId w:val="1"/>
        </w:numPr>
        <w:rPr>
          <w:b/>
        </w:rPr>
      </w:pPr>
      <w:r w:rsidRPr="00293472">
        <w:rPr>
          <w:b/>
        </w:rPr>
        <w:t>PRAVILNIK O OBRATOVALNEM ČASU</w:t>
      </w:r>
    </w:p>
    <w:p w:rsidR="00A269EC" w:rsidRDefault="00DA5239" w:rsidP="00A269EC">
      <w:pPr>
        <w:ind w:left="708"/>
      </w:pPr>
      <w:r>
        <w:t>Gostinec ga določi sam glede na poslovni interes, interes gostov in okolice. Do 15.12. mora oddati na upravno enoto vlogo oz. prijaviti letni razpored obratovalnega časa, ki obsega:</w:t>
      </w:r>
    </w:p>
    <w:p w:rsidR="00DA5239" w:rsidRDefault="00DA5239" w:rsidP="00DA5239">
      <w:pPr>
        <w:numPr>
          <w:ilvl w:val="1"/>
          <w:numId w:val="1"/>
        </w:numPr>
      </w:pPr>
      <w:r>
        <w:t>dnevni razpored</w:t>
      </w:r>
    </w:p>
    <w:p w:rsidR="00DA5239" w:rsidRDefault="00DA5239" w:rsidP="00DA5239">
      <w:pPr>
        <w:numPr>
          <w:ilvl w:val="1"/>
          <w:numId w:val="1"/>
        </w:numPr>
      </w:pPr>
      <w:r>
        <w:t>tedenski vse dni – najmanj 5 dni mora biti odprt, vsaj 8 ur na dan, ob avtocestah vse dni v letu</w:t>
      </w:r>
    </w:p>
    <w:p w:rsidR="00DA5239" w:rsidRDefault="00DA5239" w:rsidP="00DA5239">
      <w:pPr>
        <w:numPr>
          <w:ilvl w:val="1"/>
          <w:numId w:val="1"/>
        </w:numPr>
      </w:pPr>
      <w:r>
        <w:t>letni (dopust, preureditev)</w:t>
      </w:r>
    </w:p>
    <w:p w:rsidR="00DA5239" w:rsidRDefault="00DA5239" w:rsidP="00DA5239">
      <w:pPr>
        <w:ind w:left="708"/>
      </w:pPr>
      <w:r>
        <w:t>obratovalni čas se začne, ko gost stopi v obrat. Zapustiti ga morajo v 30 minutah po izteku obratovalnega časa oz. v eni uri, če strežejo hrano (restavracije, gostilne)</w:t>
      </w:r>
    </w:p>
    <w:p w:rsidR="00DA5239" w:rsidRPr="00293472" w:rsidRDefault="00DA5239" w:rsidP="00DA5239">
      <w:pPr>
        <w:rPr>
          <w:b/>
        </w:rPr>
      </w:pPr>
    </w:p>
    <w:p w:rsidR="00DA5239" w:rsidRPr="00293472" w:rsidRDefault="00DA5239" w:rsidP="00DA5239">
      <w:pPr>
        <w:numPr>
          <w:ilvl w:val="0"/>
          <w:numId w:val="1"/>
        </w:numPr>
        <w:rPr>
          <w:b/>
        </w:rPr>
      </w:pPr>
      <w:r w:rsidRPr="00293472">
        <w:rPr>
          <w:b/>
        </w:rPr>
        <w:t>PRAVILNIK O MINIMALNIH TEHNIČNIH POGOJIH</w:t>
      </w:r>
    </w:p>
    <w:p w:rsidR="00DA5239" w:rsidRDefault="00DA5239" w:rsidP="00DA5239">
      <w:pPr>
        <w:numPr>
          <w:ilvl w:val="2"/>
          <w:numId w:val="1"/>
        </w:numPr>
      </w:pPr>
      <w:r>
        <w:t>Določa minimalne tehnične pogoje, ki se nanašajo na poslovne prostore, opremo in naprave v posameznih vrstah obratov, sobodajalcih, kmetijah.</w:t>
      </w:r>
    </w:p>
    <w:p w:rsidR="00DA5239" w:rsidRDefault="00DA5239" w:rsidP="00DA5239">
      <w:pPr>
        <w:numPr>
          <w:ilvl w:val="2"/>
          <w:numId w:val="1"/>
        </w:numPr>
      </w:pPr>
      <w:r>
        <w:t>Določa označevanje GO (vrsta in ime obrata obvezno v slovenskem jeziku. Lahko pa tudi v mednarodnem. Vhod mora biti ponoči osvetljen.</w:t>
      </w:r>
    </w:p>
    <w:p w:rsidR="00DA5239" w:rsidRDefault="00DA5239" w:rsidP="00DA5239">
      <w:pPr>
        <w:numPr>
          <w:ilvl w:val="2"/>
          <w:numId w:val="1"/>
        </w:numPr>
      </w:pPr>
      <w:r>
        <w:lastRenderedPageBreak/>
        <w:t>zunanje površine – dostop, parkirišča (za 10 sedežev ali 5 sob eno parkirišče)</w:t>
      </w:r>
    </w:p>
    <w:p w:rsidR="00DA5239" w:rsidRDefault="00DA5239" w:rsidP="00DA5239">
      <w:pPr>
        <w:numPr>
          <w:ilvl w:val="2"/>
          <w:numId w:val="1"/>
        </w:numPr>
      </w:pPr>
      <w:r>
        <w:t>pomožne ločene dejavnosti (odvoz,</w:t>
      </w:r>
      <w:r w:rsidR="00171853">
        <w:t xml:space="preserve"> dostava)</w:t>
      </w:r>
    </w:p>
    <w:p w:rsidR="002461F8" w:rsidRDefault="002461F8" w:rsidP="00DA5239">
      <w:pPr>
        <w:numPr>
          <w:ilvl w:val="2"/>
          <w:numId w:val="1"/>
        </w:numPr>
      </w:pPr>
      <w:r>
        <w:t>določa minimalni obseg storitev</w:t>
      </w:r>
    </w:p>
    <w:p w:rsidR="00171853" w:rsidRDefault="00171853" w:rsidP="00DA5239">
      <w:pPr>
        <w:numPr>
          <w:ilvl w:val="2"/>
          <w:numId w:val="1"/>
        </w:numPr>
      </w:pPr>
      <w:r>
        <w:t>za določene obrate določena potrebna velikost opreme</w:t>
      </w:r>
    </w:p>
    <w:p w:rsidR="00171853" w:rsidRDefault="00171853" w:rsidP="002461F8">
      <w:pPr>
        <w:numPr>
          <w:ilvl w:val="3"/>
          <w:numId w:val="1"/>
        </w:numPr>
      </w:pPr>
      <w:r>
        <w:t>posteljna soba 8m2 površine (novogradnje)</w:t>
      </w:r>
    </w:p>
    <w:p w:rsidR="00171853" w:rsidRDefault="00171853" w:rsidP="002461F8">
      <w:pPr>
        <w:numPr>
          <w:ilvl w:val="3"/>
          <w:numId w:val="1"/>
        </w:numPr>
      </w:pPr>
      <w:r>
        <w:t>posteljna 12m2</w:t>
      </w:r>
    </w:p>
    <w:p w:rsidR="00171853" w:rsidRDefault="00171853" w:rsidP="002461F8">
      <w:pPr>
        <w:numPr>
          <w:ilvl w:val="3"/>
          <w:numId w:val="1"/>
        </w:numPr>
      </w:pPr>
      <w:r>
        <w:t>naravna svetloba</w:t>
      </w:r>
    </w:p>
    <w:p w:rsidR="00171853" w:rsidRDefault="00171853" w:rsidP="002461F8">
      <w:pPr>
        <w:numPr>
          <w:ilvl w:val="3"/>
          <w:numId w:val="1"/>
        </w:numPr>
      </w:pPr>
      <w:r>
        <w:t>miza, stol, svetilka</w:t>
      </w:r>
    </w:p>
    <w:p w:rsidR="00171853" w:rsidRDefault="00171853" w:rsidP="002461F8">
      <w:pPr>
        <w:numPr>
          <w:ilvl w:val="3"/>
          <w:numId w:val="1"/>
        </w:numPr>
      </w:pPr>
      <w:r>
        <w:t>koš</w:t>
      </w:r>
    </w:p>
    <w:p w:rsidR="00171853" w:rsidRPr="00293472" w:rsidRDefault="00171853" w:rsidP="002461F8">
      <w:pPr>
        <w:rPr>
          <w:b/>
        </w:rPr>
      </w:pPr>
    </w:p>
    <w:p w:rsidR="002461F8" w:rsidRPr="00293472" w:rsidRDefault="002461F8" w:rsidP="002461F8">
      <w:pPr>
        <w:numPr>
          <w:ilvl w:val="0"/>
          <w:numId w:val="1"/>
        </w:numPr>
        <w:rPr>
          <w:b/>
        </w:rPr>
      </w:pPr>
      <w:r w:rsidRPr="00293472">
        <w:rPr>
          <w:b/>
        </w:rPr>
        <w:t>PRAVILNIK O KATEGORIZACIJI</w:t>
      </w:r>
    </w:p>
    <w:p w:rsidR="002461F8" w:rsidRDefault="002461F8" w:rsidP="002461F8">
      <w:pPr>
        <w:ind w:left="708"/>
      </w:pPr>
      <w:r>
        <w:t>Kategorizacija je razvrščanje obratov po kakovosti, opremljenosti in storitvi.</w:t>
      </w:r>
    </w:p>
    <w:p w:rsidR="002461F8" w:rsidRDefault="002461F8" w:rsidP="002461F8">
      <w:pPr>
        <w:ind w:left="708"/>
      </w:pPr>
    </w:p>
    <w:p w:rsidR="002461F8" w:rsidRDefault="002461F8" w:rsidP="002461F8">
      <w:pPr>
        <w:ind w:left="708"/>
      </w:pPr>
      <w:r>
        <w:t>Pravilnik določa, da morajo vsi ponudniki nastanitvenih zmogljivosti pridobiti odločbo o kategorizaciji</w:t>
      </w:r>
      <w:r w:rsidR="00831DB5">
        <w:t>.</w:t>
      </w:r>
    </w:p>
    <w:p w:rsidR="00831DB5" w:rsidRDefault="00831DB5" w:rsidP="002461F8">
      <w:pPr>
        <w:ind w:left="708"/>
      </w:pPr>
      <w:r>
        <w:t>Merimo jo z zvezdicami in jabolki. Večje število zvezdic pomeni večja kakovost.</w:t>
      </w:r>
    </w:p>
    <w:p w:rsidR="00831DB5" w:rsidRDefault="00831DB5" w:rsidP="002461F8">
      <w:pPr>
        <w:ind w:left="708"/>
      </w:pPr>
    </w:p>
    <w:p w:rsidR="00831DB5" w:rsidRDefault="00831DB5" w:rsidP="002461F8">
      <w:pPr>
        <w:ind w:left="708"/>
      </w:pPr>
      <w:r>
        <w:t>Vlogo poda stranka sama. V vlogi označi podatke glede opremljenosti, ki jih zagotavlja in označi kategorijo s katero želi poslovati. Izvedenci nato podajo mnenje, upravna enota pa odločbo.</w:t>
      </w:r>
    </w:p>
    <w:p w:rsidR="00831DB5" w:rsidRDefault="00831DB5" w:rsidP="002461F8">
      <w:pPr>
        <w:ind w:left="708"/>
      </w:pPr>
      <w:r>
        <w:t>Kategorija velja 3 leta.</w:t>
      </w:r>
    </w:p>
    <w:p w:rsidR="00831DB5" w:rsidRDefault="00831DB5" w:rsidP="002461F8">
      <w:pPr>
        <w:ind w:left="708"/>
      </w:pPr>
      <w:r>
        <w:t>Se pa kriteriji razlikujejo od države do države.</w:t>
      </w:r>
    </w:p>
    <w:p w:rsidR="00831DB5" w:rsidRDefault="00831DB5" w:rsidP="002461F8">
      <w:pPr>
        <w:ind w:left="708"/>
      </w:pPr>
    </w:p>
    <w:p w:rsidR="00831DB5" w:rsidRDefault="00831DB5" w:rsidP="002461F8">
      <w:pPr>
        <w:ind w:left="708"/>
      </w:pPr>
      <w:r>
        <w:t>Apartmaji 1-4 *</w:t>
      </w:r>
    </w:p>
    <w:p w:rsidR="00831DB5" w:rsidRDefault="00831DB5" w:rsidP="002461F8">
      <w:pPr>
        <w:ind w:left="708"/>
      </w:pPr>
      <w:r>
        <w:t>Kampi 1-5 *</w:t>
      </w:r>
    </w:p>
    <w:p w:rsidR="00831DB5" w:rsidRDefault="00831DB5" w:rsidP="002461F8">
      <w:pPr>
        <w:ind w:left="708"/>
      </w:pPr>
      <w:r>
        <w:t>Turistične kmetije 1-4 jabolk</w:t>
      </w:r>
    </w:p>
    <w:p w:rsidR="00831DB5" w:rsidRDefault="00831DB5" w:rsidP="002461F8">
      <w:pPr>
        <w:ind w:left="708"/>
      </w:pPr>
      <w:r>
        <w:t>Sobe 1-3 *</w:t>
      </w:r>
    </w:p>
    <w:p w:rsidR="00831DB5" w:rsidRDefault="00831DB5" w:rsidP="002461F8">
      <w:pPr>
        <w:ind w:left="708"/>
      </w:pPr>
      <w:r>
        <w:t>Marine 1-3 *</w:t>
      </w:r>
    </w:p>
    <w:p w:rsidR="00831DB5" w:rsidRDefault="00831DB5" w:rsidP="002461F8">
      <w:pPr>
        <w:ind w:left="708"/>
      </w:pPr>
    </w:p>
    <w:p w:rsidR="00831DB5" w:rsidRDefault="00831DB5" w:rsidP="002461F8">
      <w:pPr>
        <w:ind w:left="708"/>
      </w:pPr>
      <w:r>
        <w:t>Število zvezdic oz. jabolk mora biti na obratu vidno označeno, prav tako v ceniku in drugih tržnih publikacijah.</w:t>
      </w:r>
    </w:p>
    <w:p w:rsidR="00831DB5" w:rsidRDefault="00831DB5" w:rsidP="002461F8">
      <w:pPr>
        <w:ind w:left="708"/>
      </w:pPr>
    </w:p>
    <w:p w:rsidR="00831DB5" w:rsidRDefault="00831DB5" w:rsidP="002461F8">
      <w:pPr>
        <w:ind w:left="708"/>
      </w:pPr>
      <w:r>
        <w:t>Ločimo:</w:t>
      </w:r>
    </w:p>
    <w:p w:rsidR="00831DB5" w:rsidRDefault="00831DB5" w:rsidP="00831DB5">
      <w:pPr>
        <w:numPr>
          <w:ilvl w:val="0"/>
          <w:numId w:val="2"/>
        </w:numPr>
      </w:pPr>
      <w:r>
        <w:t>formalno kategorizacijo (pravilnik s kriteriji s strani države)</w:t>
      </w:r>
    </w:p>
    <w:p w:rsidR="00831DB5" w:rsidRDefault="00831DB5" w:rsidP="00831DB5">
      <w:pPr>
        <w:numPr>
          <w:ilvl w:val="0"/>
          <w:numId w:val="2"/>
        </w:numPr>
      </w:pPr>
      <w:r>
        <w:t>neformalna kategorizacija (uporabljajo npr. turistične agencije, če kategorizirajo nastanitvene objekte zunaj matične države po svojih kategorijah. Narišejo npr. število sončkov, ki označujejo kakšno kategorijo lahko turisti pričakujejo. Kriteriji se po državah namreč razlikujejo</w:t>
      </w:r>
      <w:r w:rsidR="00293472">
        <w:t>.</w:t>
      </w:r>
    </w:p>
    <w:p w:rsidR="00293472" w:rsidRDefault="00293472" w:rsidP="00293472"/>
    <w:p w:rsidR="00293472" w:rsidRDefault="00293472" w:rsidP="00293472">
      <w:pPr>
        <w:ind w:left="1413"/>
      </w:pPr>
      <w:r>
        <w:t>Nastanitveni obrati se potegujejo lahko tudi za:</w:t>
      </w:r>
    </w:p>
    <w:p w:rsidR="00293472" w:rsidRDefault="00293472" w:rsidP="00293472">
      <w:pPr>
        <w:numPr>
          <w:ilvl w:val="0"/>
          <w:numId w:val="3"/>
        </w:numPr>
      </w:pPr>
      <w:r>
        <w:t>znak kakovosti – velja 2 leti, se na trgu uveljavlja kot kakovostnejši obrat, ki presega minimalne standarde</w:t>
      </w:r>
    </w:p>
    <w:p w:rsidR="00293472" w:rsidRDefault="00293472" w:rsidP="00293472">
      <w:pPr>
        <w:numPr>
          <w:ilvl w:val="0"/>
          <w:numId w:val="3"/>
        </w:numPr>
      </w:pPr>
      <w:r>
        <w:t>znak specializacije – nakazuje, da se v obratu izvaja specializirana turistična ponudba (konferenčni, družinski, športni, zdraviliški obrat)</w:t>
      </w:r>
    </w:p>
    <w:p w:rsidR="00293472" w:rsidRDefault="00293472" w:rsidP="00293472"/>
    <w:p w:rsidR="00293472" w:rsidRDefault="00293472" w:rsidP="00293472">
      <w:pPr>
        <w:ind w:left="1413"/>
      </w:pPr>
      <w:r>
        <w:t>Je neobvezen in velja 3 leta.</w:t>
      </w:r>
    </w:p>
    <w:sectPr w:rsidR="0029347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7F360E"/>
    <w:multiLevelType w:val="hybridMultilevel"/>
    <w:tmpl w:val="529ED2BE"/>
    <w:lvl w:ilvl="0" w:tplc="04240011">
      <w:start w:val="1"/>
      <w:numFmt w:val="decimal"/>
      <w:lvlText w:val="%1)"/>
      <w:lvlJc w:val="left"/>
      <w:pPr>
        <w:tabs>
          <w:tab w:val="num" w:pos="720"/>
        </w:tabs>
        <w:ind w:left="720" w:hanging="360"/>
      </w:pPr>
      <w:rPr>
        <w:rFonts w:hint="default"/>
      </w:rPr>
    </w:lvl>
    <w:lvl w:ilvl="1" w:tplc="663C6AB4">
      <w:start w:val="1"/>
      <w:numFmt w:val="bullet"/>
      <w:lvlText w:val="-"/>
      <w:lvlJc w:val="left"/>
      <w:pPr>
        <w:tabs>
          <w:tab w:val="num" w:pos="1440"/>
        </w:tabs>
        <w:ind w:left="1440" w:hanging="360"/>
      </w:pPr>
      <w:rPr>
        <w:rFonts w:ascii="Times New Roman" w:eastAsia="Times New Roman" w:hAnsi="Times New Roman" w:cs="Times New Roman" w:hint="default"/>
      </w:rPr>
    </w:lvl>
    <w:lvl w:ilvl="2" w:tplc="4A86503A">
      <w:start w:val="1"/>
      <w:numFmt w:val="decimal"/>
      <w:lvlText w:val="%3."/>
      <w:lvlJc w:val="left"/>
      <w:pPr>
        <w:tabs>
          <w:tab w:val="num" w:pos="2340"/>
        </w:tabs>
        <w:ind w:left="2340" w:hanging="360"/>
      </w:pPr>
      <w:rPr>
        <w:rFonts w:hint="default"/>
      </w:rPr>
    </w:lvl>
    <w:lvl w:ilvl="3" w:tplc="0424000F">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15:restartNumberingAfterBreak="0">
    <w:nsid w:val="45477E10"/>
    <w:multiLevelType w:val="hybridMultilevel"/>
    <w:tmpl w:val="EBBAD408"/>
    <w:lvl w:ilvl="0" w:tplc="402662BA">
      <w:start w:val="1"/>
      <w:numFmt w:val="bullet"/>
      <w:lvlText w:val="-"/>
      <w:lvlJc w:val="left"/>
      <w:pPr>
        <w:tabs>
          <w:tab w:val="num" w:pos="1773"/>
        </w:tabs>
        <w:ind w:left="1773" w:hanging="360"/>
      </w:pPr>
      <w:rPr>
        <w:rFonts w:ascii="Times New Roman" w:eastAsia="Times New Roman" w:hAnsi="Times New Roman" w:cs="Times New Roman" w:hint="default"/>
      </w:rPr>
    </w:lvl>
    <w:lvl w:ilvl="1" w:tplc="04240003" w:tentative="1">
      <w:start w:val="1"/>
      <w:numFmt w:val="bullet"/>
      <w:lvlText w:val="o"/>
      <w:lvlJc w:val="left"/>
      <w:pPr>
        <w:tabs>
          <w:tab w:val="num" w:pos="2493"/>
        </w:tabs>
        <w:ind w:left="2493" w:hanging="360"/>
      </w:pPr>
      <w:rPr>
        <w:rFonts w:ascii="Courier New" w:hAnsi="Courier New" w:cs="Courier New" w:hint="default"/>
      </w:rPr>
    </w:lvl>
    <w:lvl w:ilvl="2" w:tplc="04240005" w:tentative="1">
      <w:start w:val="1"/>
      <w:numFmt w:val="bullet"/>
      <w:lvlText w:val=""/>
      <w:lvlJc w:val="left"/>
      <w:pPr>
        <w:tabs>
          <w:tab w:val="num" w:pos="3213"/>
        </w:tabs>
        <w:ind w:left="3213" w:hanging="360"/>
      </w:pPr>
      <w:rPr>
        <w:rFonts w:ascii="Wingdings" w:hAnsi="Wingdings" w:hint="default"/>
      </w:rPr>
    </w:lvl>
    <w:lvl w:ilvl="3" w:tplc="04240001" w:tentative="1">
      <w:start w:val="1"/>
      <w:numFmt w:val="bullet"/>
      <w:lvlText w:val=""/>
      <w:lvlJc w:val="left"/>
      <w:pPr>
        <w:tabs>
          <w:tab w:val="num" w:pos="3933"/>
        </w:tabs>
        <w:ind w:left="3933" w:hanging="360"/>
      </w:pPr>
      <w:rPr>
        <w:rFonts w:ascii="Symbol" w:hAnsi="Symbol" w:hint="default"/>
      </w:rPr>
    </w:lvl>
    <w:lvl w:ilvl="4" w:tplc="04240003" w:tentative="1">
      <w:start w:val="1"/>
      <w:numFmt w:val="bullet"/>
      <w:lvlText w:val="o"/>
      <w:lvlJc w:val="left"/>
      <w:pPr>
        <w:tabs>
          <w:tab w:val="num" w:pos="4653"/>
        </w:tabs>
        <w:ind w:left="4653" w:hanging="360"/>
      </w:pPr>
      <w:rPr>
        <w:rFonts w:ascii="Courier New" w:hAnsi="Courier New" w:cs="Courier New" w:hint="default"/>
      </w:rPr>
    </w:lvl>
    <w:lvl w:ilvl="5" w:tplc="04240005" w:tentative="1">
      <w:start w:val="1"/>
      <w:numFmt w:val="bullet"/>
      <w:lvlText w:val=""/>
      <w:lvlJc w:val="left"/>
      <w:pPr>
        <w:tabs>
          <w:tab w:val="num" w:pos="5373"/>
        </w:tabs>
        <w:ind w:left="5373" w:hanging="360"/>
      </w:pPr>
      <w:rPr>
        <w:rFonts w:ascii="Wingdings" w:hAnsi="Wingdings" w:hint="default"/>
      </w:rPr>
    </w:lvl>
    <w:lvl w:ilvl="6" w:tplc="04240001" w:tentative="1">
      <w:start w:val="1"/>
      <w:numFmt w:val="bullet"/>
      <w:lvlText w:val=""/>
      <w:lvlJc w:val="left"/>
      <w:pPr>
        <w:tabs>
          <w:tab w:val="num" w:pos="6093"/>
        </w:tabs>
        <w:ind w:left="6093" w:hanging="360"/>
      </w:pPr>
      <w:rPr>
        <w:rFonts w:ascii="Symbol" w:hAnsi="Symbol" w:hint="default"/>
      </w:rPr>
    </w:lvl>
    <w:lvl w:ilvl="7" w:tplc="04240003" w:tentative="1">
      <w:start w:val="1"/>
      <w:numFmt w:val="bullet"/>
      <w:lvlText w:val="o"/>
      <w:lvlJc w:val="left"/>
      <w:pPr>
        <w:tabs>
          <w:tab w:val="num" w:pos="6813"/>
        </w:tabs>
        <w:ind w:left="6813" w:hanging="360"/>
      </w:pPr>
      <w:rPr>
        <w:rFonts w:ascii="Courier New" w:hAnsi="Courier New" w:cs="Courier New" w:hint="default"/>
      </w:rPr>
    </w:lvl>
    <w:lvl w:ilvl="8" w:tplc="04240005" w:tentative="1">
      <w:start w:val="1"/>
      <w:numFmt w:val="bullet"/>
      <w:lvlText w:val=""/>
      <w:lvlJc w:val="left"/>
      <w:pPr>
        <w:tabs>
          <w:tab w:val="num" w:pos="7533"/>
        </w:tabs>
        <w:ind w:left="7533" w:hanging="360"/>
      </w:pPr>
      <w:rPr>
        <w:rFonts w:ascii="Wingdings" w:hAnsi="Wingdings" w:hint="default"/>
      </w:rPr>
    </w:lvl>
  </w:abstractNum>
  <w:abstractNum w:abstractNumId="2" w15:restartNumberingAfterBreak="0">
    <w:nsid w:val="50F62924"/>
    <w:multiLevelType w:val="hybridMultilevel"/>
    <w:tmpl w:val="00F87B1E"/>
    <w:lvl w:ilvl="0" w:tplc="CDC20354">
      <w:start w:val="1"/>
      <w:numFmt w:val="decimal"/>
      <w:lvlText w:val="%1."/>
      <w:lvlJc w:val="left"/>
      <w:pPr>
        <w:tabs>
          <w:tab w:val="num" w:pos="1773"/>
        </w:tabs>
        <w:ind w:left="1773" w:hanging="360"/>
      </w:pPr>
      <w:rPr>
        <w:rFonts w:hint="default"/>
      </w:rPr>
    </w:lvl>
    <w:lvl w:ilvl="1" w:tplc="04240019" w:tentative="1">
      <w:start w:val="1"/>
      <w:numFmt w:val="lowerLetter"/>
      <w:lvlText w:val="%2."/>
      <w:lvlJc w:val="left"/>
      <w:pPr>
        <w:tabs>
          <w:tab w:val="num" w:pos="2493"/>
        </w:tabs>
        <w:ind w:left="2493" w:hanging="360"/>
      </w:pPr>
    </w:lvl>
    <w:lvl w:ilvl="2" w:tplc="0424001B" w:tentative="1">
      <w:start w:val="1"/>
      <w:numFmt w:val="lowerRoman"/>
      <w:lvlText w:val="%3."/>
      <w:lvlJc w:val="right"/>
      <w:pPr>
        <w:tabs>
          <w:tab w:val="num" w:pos="3213"/>
        </w:tabs>
        <w:ind w:left="3213" w:hanging="180"/>
      </w:pPr>
    </w:lvl>
    <w:lvl w:ilvl="3" w:tplc="0424000F" w:tentative="1">
      <w:start w:val="1"/>
      <w:numFmt w:val="decimal"/>
      <w:lvlText w:val="%4."/>
      <w:lvlJc w:val="left"/>
      <w:pPr>
        <w:tabs>
          <w:tab w:val="num" w:pos="3933"/>
        </w:tabs>
        <w:ind w:left="3933" w:hanging="360"/>
      </w:pPr>
    </w:lvl>
    <w:lvl w:ilvl="4" w:tplc="04240019" w:tentative="1">
      <w:start w:val="1"/>
      <w:numFmt w:val="lowerLetter"/>
      <w:lvlText w:val="%5."/>
      <w:lvlJc w:val="left"/>
      <w:pPr>
        <w:tabs>
          <w:tab w:val="num" w:pos="4653"/>
        </w:tabs>
        <w:ind w:left="4653" w:hanging="360"/>
      </w:pPr>
    </w:lvl>
    <w:lvl w:ilvl="5" w:tplc="0424001B" w:tentative="1">
      <w:start w:val="1"/>
      <w:numFmt w:val="lowerRoman"/>
      <w:lvlText w:val="%6."/>
      <w:lvlJc w:val="right"/>
      <w:pPr>
        <w:tabs>
          <w:tab w:val="num" w:pos="5373"/>
        </w:tabs>
        <w:ind w:left="5373" w:hanging="180"/>
      </w:pPr>
    </w:lvl>
    <w:lvl w:ilvl="6" w:tplc="0424000F" w:tentative="1">
      <w:start w:val="1"/>
      <w:numFmt w:val="decimal"/>
      <w:lvlText w:val="%7."/>
      <w:lvlJc w:val="left"/>
      <w:pPr>
        <w:tabs>
          <w:tab w:val="num" w:pos="6093"/>
        </w:tabs>
        <w:ind w:left="6093" w:hanging="360"/>
      </w:pPr>
    </w:lvl>
    <w:lvl w:ilvl="7" w:tplc="04240019" w:tentative="1">
      <w:start w:val="1"/>
      <w:numFmt w:val="lowerLetter"/>
      <w:lvlText w:val="%8."/>
      <w:lvlJc w:val="left"/>
      <w:pPr>
        <w:tabs>
          <w:tab w:val="num" w:pos="6813"/>
        </w:tabs>
        <w:ind w:left="6813" w:hanging="360"/>
      </w:pPr>
    </w:lvl>
    <w:lvl w:ilvl="8" w:tplc="0424001B" w:tentative="1">
      <w:start w:val="1"/>
      <w:numFmt w:val="lowerRoman"/>
      <w:lvlText w:val="%9."/>
      <w:lvlJc w:val="right"/>
      <w:pPr>
        <w:tabs>
          <w:tab w:val="num" w:pos="7533"/>
        </w:tabs>
        <w:ind w:left="7533"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07764"/>
    <w:rsid w:val="00171853"/>
    <w:rsid w:val="002461F8"/>
    <w:rsid w:val="00293472"/>
    <w:rsid w:val="00831DB5"/>
    <w:rsid w:val="00907764"/>
    <w:rsid w:val="00A269EC"/>
    <w:rsid w:val="00D57D89"/>
    <w:rsid w:val="00DA5239"/>
    <w:rsid w:val="00E9282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592</Words>
  <Characters>3376</Characters>
  <Application>Microsoft Office Word</Application>
  <DocSecurity>0</DocSecurity>
  <Lines>28</Lines>
  <Paragraphs>7</Paragraphs>
  <ScaleCrop>false</ScaleCrop>
  <Company/>
  <LinksUpToDate>false</LinksUpToDate>
  <CharactersWithSpaces>3961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2019-05-13T12:18:00Z</dcterms:created>
  <dcterms:modified xsi:type="dcterms:W3CDTF">2019-05-13T12:18:00Z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