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4F5D" w:rsidRDefault="00A147D2">
      <w:pPr>
        <w:jc w:val="both"/>
        <w:rPr>
          <w:rFonts w:ascii="Comic Sans MS" w:hAnsi="Comic Sans MS"/>
          <w:color w:val="FF00FF"/>
          <w:sz w:val="22"/>
          <w:szCs w:val="22"/>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25pt;height:27pt;mso-position-horizontal-relative:char;mso-position-vertical-relative:line;v-text-anchor:middle" fillcolor="fuchsia" strokeweight=".35mm">
            <v:fill color2="blue" type="gradient"/>
            <v:stroke joinstyle="miter"/>
            <v:textpath style="font-family:&quot;Snap ITC&quot;;font-weight:bold;v-text-kern:t" fitpath="t" string="Prenehanje obveznosti"/>
          </v:shape>
        </w:pict>
      </w:r>
      <w:r w:rsidR="00D36972">
        <w:rPr>
          <w:rFonts w:ascii="Comic Sans MS" w:hAnsi="Comic Sans MS"/>
          <w:color w:val="FF00FF"/>
          <w:sz w:val="22"/>
          <w:szCs w:val="22"/>
        </w:rPr>
        <w:t>Prenehanje obveznosti je ugasnitev pravic in obveznosti  med strankama.</w:t>
      </w:r>
    </w:p>
    <w:p w:rsidR="00E74F5D" w:rsidRDefault="00E74F5D">
      <w:pPr>
        <w:jc w:val="both"/>
        <w:rPr>
          <w:rFonts w:ascii="Comic Sans MS" w:hAnsi="Comic Sans MS"/>
          <w:color w:val="FF00FF"/>
          <w:sz w:val="22"/>
          <w:szCs w:val="22"/>
        </w:rPr>
      </w:pPr>
    </w:p>
    <w:p w:rsidR="00E74F5D" w:rsidRDefault="00D36972">
      <w:pPr>
        <w:jc w:val="both"/>
        <w:rPr>
          <w:rFonts w:ascii="Comic Sans MS" w:hAnsi="Comic Sans MS"/>
          <w:sz w:val="22"/>
          <w:szCs w:val="22"/>
        </w:rPr>
      </w:pPr>
      <w:r>
        <w:rPr>
          <w:rFonts w:ascii="Comic Sans MS" w:hAnsi="Comic Sans MS"/>
          <w:sz w:val="22"/>
          <w:szCs w:val="22"/>
        </w:rPr>
        <w:t>Prenehanje pomeni ugasnitev pravic in obveznosti med strankami. Po prenehanju upnik od dolžnik ne more več zahtevati izpolnitve.</w:t>
      </w:r>
    </w:p>
    <w:p w:rsidR="00E74F5D" w:rsidRDefault="00E74F5D">
      <w:pPr>
        <w:jc w:val="both"/>
        <w:rPr>
          <w:rFonts w:ascii="Comic Sans MS" w:hAnsi="Comic Sans MS"/>
          <w:sz w:val="22"/>
          <w:szCs w:val="22"/>
        </w:rPr>
      </w:pPr>
    </w:p>
    <w:p w:rsidR="00E74F5D" w:rsidRDefault="00D36972">
      <w:pPr>
        <w:jc w:val="both"/>
        <w:rPr>
          <w:rFonts w:ascii="Snap ITC" w:hAnsi="Snap ITC"/>
          <w:sz w:val="22"/>
          <w:szCs w:val="22"/>
        </w:rPr>
      </w:pPr>
      <w:r>
        <w:rPr>
          <w:rFonts w:ascii="Snap ITC" w:hAnsi="Snap ITC"/>
          <w:sz w:val="22"/>
          <w:szCs w:val="22"/>
        </w:rPr>
        <w:t>Primeri prenehanja obveznosti:</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izpolnitev</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pobotanje</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 xml:space="preserve">odpust dolga (to je dogovor med strankama, da dolžniku ni treba izpolniti obveznosti. Upnik izjavi, da od dolžnika ne bo zahteval izpolnitve. </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Prenovitev ali novacija (dolžnik in upnik se dogovorita, da med njima velja namesto prvotne neka nova obveznost).</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združitev ali konfuzija (položaj upnika in dolžnika se združi v eni osebi.</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naknadna nemožnost izpolnitve (po nastanku obveznosti nastopijo okoliščine zaradi katerih nastane izpolnitev nemogoča (požar). Pogoj za prenehanje obveznosti je, da dolžnik ne odgovarja za nemožnost in izpolnitve, sicer je še naprej dolžan upniku.</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Potek časa - obligacijska razmerja prenehajo, ko poteče dogovorjen čas med strankama (npr. pogodba sklenjena za eno leto) Če pa trajanje ni določeno, razmerje preneha z odpovedjo. V takih primerih je treba upoštevati odpovedni rok.</w:t>
      </w:r>
    </w:p>
    <w:p w:rsidR="00E74F5D" w:rsidRDefault="00D36972">
      <w:pPr>
        <w:numPr>
          <w:ilvl w:val="0"/>
          <w:numId w:val="1"/>
        </w:numPr>
        <w:tabs>
          <w:tab w:val="left" w:pos="360"/>
        </w:tabs>
        <w:jc w:val="both"/>
        <w:rPr>
          <w:rFonts w:ascii="Comic Sans MS" w:hAnsi="Comic Sans MS"/>
          <w:sz w:val="22"/>
          <w:szCs w:val="22"/>
        </w:rPr>
      </w:pPr>
      <w:r>
        <w:rPr>
          <w:rFonts w:ascii="Comic Sans MS" w:hAnsi="Comic Sans MS"/>
          <w:sz w:val="22"/>
          <w:szCs w:val="22"/>
        </w:rPr>
        <w:t>Smrt – pravice upnika ali dolžnika in tudi obveznosti preidejo lahko na dediče umrlega. Smrt pa je lahko razlog za prenehanje obveznosti, če tako narekujejo okoliščine (npr. slikar).</w:t>
      </w:r>
    </w:p>
    <w:p w:rsidR="00E74F5D" w:rsidRDefault="00E74F5D">
      <w:pPr>
        <w:jc w:val="both"/>
        <w:rPr>
          <w:rFonts w:ascii="Comic Sans MS" w:hAnsi="Comic Sans MS"/>
          <w:sz w:val="22"/>
          <w:szCs w:val="22"/>
        </w:rPr>
      </w:pPr>
    </w:p>
    <w:p w:rsidR="00E74F5D" w:rsidRDefault="00D36972">
      <w:pPr>
        <w:numPr>
          <w:ilvl w:val="0"/>
          <w:numId w:val="1"/>
        </w:numPr>
        <w:tabs>
          <w:tab w:val="left" w:pos="360"/>
        </w:tabs>
        <w:jc w:val="both"/>
        <w:rPr>
          <w:rFonts w:ascii="Comic Sans MS" w:hAnsi="Comic Sans MS"/>
          <w:sz w:val="22"/>
          <w:szCs w:val="22"/>
        </w:rPr>
      </w:pPr>
      <w:r>
        <w:rPr>
          <w:rFonts w:ascii="Snap ITC" w:hAnsi="Snap ITC"/>
          <w:b/>
          <w:color w:val="FF00FF"/>
          <w:sz w:val="22"/>
          <w:szCs w:val="22"/>
        </w:rPr>
        <w:t>Izpolnitev obveznosti</w:t>
      </w:r>
      <w:r>
        <w:rPr>
          <w:rFonts w:ascii="Comic Sans MS" w:hAnsi="Comic Sans MS"/>
          <w:sz w:val="22"/>
          <w:szCs w:val="22"/>
        </w:rPr>
        <w:t xml:space="preserve"> – to je najbolj pogost način prenehanja obveznosti. Dolžnik in upnik morata izpolniti dogovorjeno obveznost. Namesto dolžnika lahko obveznost izpolni druga oseba (če je možno).</w:t>
      </w:r>
    </w:p>
    <w:p w:rsidR="00E74F5D" w:rsidRDefault="00D36972">
      <w:pPr>
        <w:jc w:val="both"/>
        <w:rPr>
          <w:rFonts w:ascii="Comic Sans MS" w:hAnsi="Comic Sans MS"/>
          <w:sz w:val="22"/>
          <w:szCs w:val="22"/>
        </w:rPr>
      </w:pPr>
      <w:r>
        <w:rPr>
          <w:rFonts w:ascii="Snap ITC" w:hAnsi="Snap ITC"/>
          <w:sz w:val="22"/>
          <w:szCs w:val="22"/>
        </w:rPr>
        <w:t>Čas izpolnitve</w:t>
      </w:r>
      <w:r>
        <w:rPr>
          <w:rFonts w:ascii="Comic Sans MS" w:hAnsi="Comic Sans MS"/>
          <w:sz w:val="22"/>
          <w:szCs w:val="22"/>
        </w:rPr>
        <w:t xml:space="preserve"> – pove kdaj mora dolžnik izpolniti obveznost. Ob izpolnitvenem času obveznost zapade. Dolžnik lahko predčasno izpolni denarne obveznosti ostale pa le, če se upnik s tam strinja.</w:t>
      </w:r>
    </w:p>
    <w:p w:rsidR="00E74F5D" w:rsidRDefault="00D36972">
      <w:pPr>
        <w:jc w:val="both"/>
        <w:rPr>
          <w:rFonts w:ascii="Comic Sans MS" w:hAnsi="Comic Sans MS"/>
          <w:sz w:val="22"/>
          <w:szCs w:val="22"/>
        </w:rPr>
      </w:pPr>
      <w:r>
        <w:rPr>
          <w:rFonts w:ascii="Comic Sans MS" w:hAnsi="Comic Sans MS"/>
          <w:sz w:val="22"/>
          <w:szCs w:val="22"/>
        </w:rPr>
        <w:t>Kako določimo čas izpolnitve?</w:t>
      </w:r>
    </w:p>
    <w:p w:rsidR="00E74F5D" w:rsidRDefault="00D36972">
      <w:pPr>
        <w:jc w:val="both"/>
        <w:rPr>
          <w:rFonts w:ascii="Comic Sans MS" w:hAnsi="Comic Sans MS"/>
          <w:sz w:val="22"/>
          <w:szCs w:val="22"/>
        </w:rPr>
      </w:pPr>
      <w:r>
        <w:rPr>
          <w:rFonts w:ascii="Comic Sans MS" w:hAnsi="Comic Sans MS"/>
          <w:sz w:val="22"/>
          <w:szCs w:val="22"/>
        </w:rPr>
        <w:t>S koledarskim datumom</w:t>
      </w:r>
    </w:p>
    <w:p w:rsidR="00E74F5D" w:rsidRDefault="00D36972">
      <w:pPr>
        <w:jc w:val="both"/>
        <w:rPr>
          <w:rFonts w:ascii="Comic Sans MS" w:hAnsi="Comic Sans MS"/>
          <w:sz w:val="22"/>
          <w:szCs w:val="22"/>
        </w:rPr>
      </w:pPr>
      <w:r>
        <w:rPr>
          <w:rFonts w:ascii="Comic Sans MS" w:hAnsi="Comic Sans MS"/>
          <w:sz w:val="22"/>
          <w:szCs w:val="22"/>
        </w:rPr>
        <w:t>Z rokom za izpolnitev (določimo čas trajanja in kdaj se rok začne npr. 15 dni po dobavi)</w:t>
      </w:r>
    </w:p>
    <w:p w:rsidR="00E74F5D" w:rsidRDefault="00E74F5D">
      <w:pPr>
        <w:jc w:val="both"/>
        <w:rPr>
          <w:rFonts w:ascii="Comic Sans MS" w:hAnsi="Comic Sans MS"/>
          <w:sz w:val="22"/>
          <w:szCs w:val="22"/>
        </w:rPr>
      </w:pPr>
    </w:p>
    <w:p w:rsidR="00E74F5D" w:rsidRDefault="00D36972">
      <w:pPr>
        <w:jc w:val="both"/>
        <w:rPr>
          <w:rFonts w:ascii="Comic Sans MS" w:hAnsi="Comic Sans MS"/>
          <w:sz w:val="22"/>
          <w:szCs w:val="22"/>
        </w:rPr>
      </w:pPr>
      <w:r>
        <w:rPr>
          <w:rFonts w:ascii="Snap ITC" w:hAnsi="Snap ITC"/>
          <w:sz w:val="22"/>
          <w:szCs w:val="22"/>
        </w:rPr>
        <w:t>Kraj izpolnitve</w:t>
      </w:r>
      <w:r>
        <w:rPr>
          <w:rFonts w:ascii="Comic Sans MS" w:hAnsi="Comic Sans MS"/>
          <w:sz w:val="22"/>
          <w:szCs w:val="22"/>
        </w:rPr>
        <w:t xml:space="preserve"> – ta kraj pove kje mora dolžnik izpolniti obveznost.</w:t>
      </w:r>
    </w:p>
    <w:p w:rsidR="00E74F5D" w:rsidRDefault="00D36972">
      <w:pPr>
        <w:jc w:val="both"/>
        <w:rPr>
          <w:rFonts w:ascii="Comic Sans MS" w:hAnsi="Comic Sans MS"/>
          <w:sz w:val="22"/>
          <w:szCs w:val="22"/>
        </w:rPr>
      </w:pPr>
      <w:r>
        <w:rPr>
          <w:rFonts w:ascii="Comic Sans MS" w:hAnsi="Comic Sans MS"/>
          <w:sz w:val="22"/>
          <w:szCs w:val="22"/>
        </w:rPr>
        <w:t>Obveznost je prinosnina (dolžnik mora izpolniti obveznost na upnikovem sedežu) ali iskovina (upnik mora k dolžniku)</w:t>
      </w:r>
    </w:p>
    <w:p w:rsidR="00E74F5D" w:rsidRDefault="00D36972">
      <w:pPr>
        <w:jc w:val="both"/>
        <w:rPr>
          <w:rFonts w:ascii="Comic Sans MS" w:hAnsi="Comic Sans MS"/>
          <w:sz w:val="22"/>
          <w:szCs w:val="22"/>
        </w:rPr>
      </w:pPr>
      <w:r>
        <w:rPr>
          <w:rFonts w:ascii="Comic Sans MS" w:hAnsi="Comic Sans MS"/>
          <w:sz w:val="22"/>
          <w:szCs w:val="22"/>
        </w:rPr>
        <w:t>Denarne obveznosti so prinosnine, druge obveznosti so iskovine.</w:t>
      </w:r>
    </w:p>
    <w:p w:rsidR="00E74F5D" w:rsidRDefault="00D36972">
      <w:pPr>
        <w:jc w:val="both"/>
        <w:rPr>
          <w:rFonts w:ascii="Comic Sans MS" w:hAnsi="Comic Sans MS"/>
          <w:sz w:val="22"/>
          <w:szCs w:val="22"/>
        </w:rPr>
      </w:pPr>
      <w:r>
        <w:rPr>
          <w:rFonts w:ascii="Comic Sans MS" w:hAnsi="Comic Sans MS"/>
          <w:sz w:val="22"/>
          <w:szCs w:val="22"/>
        </w:rPr>
        <w:t>Kraj izpolnitve je lahko določen tudi s klavzulami.</w:t>
      </w:r>
    </w:p>
    <w:sectPr w:rsidR="00E74F5D">
      <w:footnotePr>
        <w:pos w:val="beneathText"/>
      </w:footnotePr>
      <w:pgSz w:w="11905" w:h="16837"/>
      <w:pgMar w:top="1079" w:right="1418"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972"/>
    <w:rsid w:val="00A147D2"/>
    <w:rsid w:val="00D36972"/>
    <w:rsid w:val="00E74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