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D02F2" w:rsidRDefault="00982756">
      <w:pPr>
        <w:jc w:val="center"/>
        <w:rPr>
          <w:color w:val="auto"/>
        </w:rPr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4.25pt;height:50.25pt;mso-position-horizontal-relative:char;mso-position-vertical-relative:line;v-text-anchor:middle" fillcolor="#36f" strokeweight=".62mm">
            <v:fill color2="fuchsia" focus="50%" type="gradient"/>
            <v:stroke joinstyle="miter"/>
            <v:textpath style="font-family:&quot;Snap ITC&quot;;font-weight:bold;v-text-kern:t" fitpath="t" string="Škodno ravnanje"/>
          </v:shape>
        </w:pict>
      </w:r>
    </w:p>
    <w:p w:rsidR="001D02F2" w:rsidRDefault="004F728E">
      <w:pPr>
        <w:jc w:val="both"/>
        <w:rPr>
          <w:color w:val="auto"/>
        </w:rPr>
      </w:pPr>
      <w:r>
        <w:rPr>
          <w:color w:val="auto"/>
        </w:rPr>
        <w:t>To je vsako ravnanje povzročitelja, ki povzroči škodo.</w:t>
      </w:r>
    </w:p>
    <w:p w:rsidR="001D02F2" w:rsidRDefault="001D02F2">
      <w:pPr>
        <w:jc w:val="both"/>
      </w:pPr>
    </w:p>
    <w:p w:rsidR="001D02F2" w:rsidRDefault="004F728E">
      <w:pPr>
        <w:jc w:val="both"/>
        <w:rPr>
          <w:b/>
          <w:color w:val="FF00FF"/>
        </w:rPr>
      </w:pPr>
      <w:r>
        <w:rPr>
          <w:b/>
          <w:color w:val="FF00FF"/>
        </w:rPr>
        <w:t>Kdaj nimamo pravice zahtevati povračila škode?</w:t>
      </w:r>
    </w:p>
    <w:p w:rsidR="001D02F2" w:rsidRDefault="004F728E">
      <w:pPr>
        <w:numPr>
          <w:ilvl w:val="0"/>
          <w:numId w:val="1"/>
        </w:numPr>
        <w:tabs>
          <w:tab w:val="left" w:pos="720"/>
        </w:tabs>
        <w:jc w:val="both"/>
        <w:rPr>
          <w:color w:val="auto"/>
        </w:rPr>
      </w:pPr>
      <w:r>
        <w:rPr>
          <w:color w:val="auto"/>
        </w:rPr>
        <w:t>Če škodo povzroči državni organ, ki ravna v skladu s svojimi pooblastili (hiša na črno)</w:t>
      </w:r>
    </w:p>
    <w:p w:rsidR="001D02F2" w:rsidRDefault="004F728E">
      <w:pPr>
        <w:numPr>
          <w:ilvl w:val="0"/>
          <w:numId w:val="1"/>
        </w:numPr>
        <w:tabs>
          <w:tab w:val="left" w:pos="720"/>
        </w:tabs>
        <w:jc w:val="both"/>
        <w:rPr>
          <w:color w:val="auto"/>
        </w:rPr>
      </w:pPr>
      <w:r>
        <w:rPr>
          <w:color w:val="auto"/>
        </w:rPr>
        <w:t>Če povzročitelj kode ravna v silobranu (samoobramba) ali stiski (gasiš hišo in razbiješ okno)</w:t>
      </w:r>
    </w:p>
    <w:p w:rsidR="001D02F2" w:rsidRDefault="004F728E">
      <w:pPr>
        <w:numPr>
          <w:ilvl w:val="0"/>
          <w:numId w:val="1"/>
        </w:numPr>
        <w:tabs>
          <w:tab w:val="left" w:pos="720"/>
        </w:tabs>
        <w:jc w:val="both"/>
        <w:rPr>
          <w:color w:val="auto"/>
        </w:rPr>
      </w:pPr>
      <w:r>
        <w:rPr>
          <w:color w:val="auto"/>
        </w:rPr>
        <w:t>Če oškodovanec privoli v škodno ravnanje (npr. daš popraviti televizijo in ti že vnaprej povejo, da se lahko še bolj pokvari) * Izjema: privolitev oškodovanca nima učinka, če je v nasprotju z moralo in splošnimi prepovedmi (npr. nekomu dovoliš da ti zlomi nogo)</w:t>
      </w:r>
    </w:p>
    <w:p w:rsidR="001D02F2" w:rsidRDefault="001D02F2">
      <w:pPr>
        <w:jc w:val="both"/>
      </w:pPr>
    </w:p>
    <w:p w:rsidR="001D02F2" w:rsidRDefault="001D02F2">
      <w:pPr>
        <w:jc w:val="both"/>
      </w:pPr>
    </w:p>
    <w:p w:rsidR="001D02F2" w:rsidRDefault="001D02F2">
      <w:pPr>
        <w:jc w:val="center"/>
        <w:rPr>
          <w:b/>
          <w:color w:val="FF00FF"/>
          <w:sz w:val="40"/>
          <w:szCs w:val="40"/>
        </w:rPr>
      </w:pPr>
    </w:p>
    <w:p w:rsidR="001D02F2" w:rsidRDefault="001D02F2">
      <w:pPr>
        <w:jc w:val="center"/>
        <w:rPr>
          <w:b/>
          <w:color w:val="FF00FF"/>
          <w:sz w:val="40"/>
          <w:szCs w:val="40"/>
        </w:rPr>
      </w:pPr>
    </w:p>
    <w:p w:rsidR="001D02F2" w:rsidRDefault="001D02F2">
      <w:pPr>
        <w:jc w:val="center"/>
        <w:rPr>
          <w:b/>
          <w:color w:val="FF00FF"/>
          <w:sz w:val="40"/>
          <w:szCs w:val="40"/>
        </w:rPr>
      </w:pPr>
    </w:p>
    <w:p w:rsidR="001D02F2" w:rsidRDefault="00982756">
      <w:pPr>
        <w:jc w:val="center"/>
        <w:rPr>
          <w:b/>
          <w:color w:val="FF00FF"/>
          <w:sz w:val="40"/>
          <w:szCs w:val="40"/>
        </w:rPr>
      </w:pPr>
      <w:r>
        <w:pict>
          <v:shape id="_x0000_i1026" type="#_x0000_t136" style="width:116.25pt;height:44.25pt;mso-position-horizontal-relative:char;mso-position-vertical-relative:line;v-text-anchor:middle" fillcolor="#36f" strokeweight=".53mm">
            <v:fill color2="#c0f" focus="50%" type="gradient"/>
            <v:stroke joinstyle="miter"/>
            <v:textpath style="font-family:&quot;Snap ITC&quot;;font-weight:bold;v-text-kern:t" fitpath="t" string="Škoda"/>
          </v:shape>
        </w:pict>
      </w:r>
    </w:p>
    <w:p w:rsidR="001D02F2" w:rsidRDefault="001D02F2">
      <w:pPr>
        <w:jc w:val="center"/>
        <w:rPr>
          <w:b/>
          <w:color w:val="FF00FF"/>
          <w:sz w:val="40"/>
          <w:szCs w:val="40"/>
        </w:rPr>
      </w:pPr>
    </w:p>
    <w:p w:rsidR="001D02F2" w:rsidRDefault="004F728E">
      <w:pPr>
        <w:jc w:val="both"/>
        <w:rPr>
          <w:color w:val="auto"/>
        </w:rPr>
      </w:pPr>
      <w:r>
        <w:rPr>
          <w:color w:val="auto"/>
        </w:rPr>
        <w:t>Škoda je zmanjšanje oškodovančevega premoženja, preprečitev njegovega povečanja ali povzročitev telesnih in duševnih bolečin ter strahu drugemu.</w:t>
      </w:r>
    </w:p>
    <w:p w:rsidR="001D02F2" w:rsidRDefault="001D02F2">
      <w:pPr>
        <w:jc w:val="both"/>
        <w:rPr>
          <w:color w:val="auto"/>
        </w:rPr>
      </w:pPr>
    </w:p>
    <w:p w:rsidR="001D02F2" w:rsidRDefault="004F728E">
      <w:pPr>
        <w:jc w:val="both"/>
        <w:rPr>
          <w:color w:val="auto"/>
        </w:rPr>
      </w:pPr>
      <w:r>
        <w:rPr>
          <w:color w:val="auto"/>
        </w:rPr>
        <w:t>Škoda je premoženjska ali nepremoženjska. Povzročitelj škode mora oškodovancu plačati odškodnino oz. povrniti vso priznano škodo. Velja načelo popolne odškodnine (ne moreš dobiti večje odškodnine, kot je bila škoda)</w:t>
      </w:r>
    </w:p>
    <w:p w:rsidR="001D02F2" w:rsidRDefault="001D02F2">
      <w:pPr>
        <w:jc w:val="both"/>
      </w:pPr>
    </w:p>
    <w:p w:rsidR="001D02F2" w:rsidRDefault="004F728E">
      <w:pPr>
        <w:jc w:val="both"/>
        <w:rPr>
          <w:b/>
          <w:color w:val="FF00FF"/>
        </w:rPr>
      </w:pPr>
      <w:r>
        <w:rPr>
          <w:b/>
          <w:color w:val="FF00FF"/>
        </w:rPr>
        <w:t>Odškodnina pri premoženjski škodi</w:t>
      </w:r>
    </w:p>
    <w:p w:rsidR="001D02F2" w:rsidRDefault="004F728E">
      <w:pPr>
        <w:jc w:val="both"/>
        <w:rPr>
          <w:color w:val="auto"/>
        </w:rPr>
      </w:pPr>
      <w:r>
        <w:rPr>
          <w:color w:val="auto"/>
        </w:rPr>
        <w:t xml:space="preserve">Če je mogoče, mora povzročitelj premoženjske škode oškodovancu vzpostaviti prejšnje stanje = </w:t>
      </w:r>
      <w:r>
        <w:rPr>
          <w:color w:val="3366FF"/>
        </w:rPr>
        <w:t>RESTITUCIJA</w:t>
      </w:r>
      <w:r>
        <w:rPr>
          <w:color w:val="auto"/>
        </w:rPr>
        <w:t xml:space="preserve"> (na novo ti postavi ograjo, ki ti jo je podrl)</w:t>
      </w:r>
    </w:p>
    <w:p w:rsidR="001D02F2" w:rsidRDefault="001D02F2">
      <w:pPr>
        <w:jc w:val="both"/>
        <w:rPr>
          <w:color w:val="auto"/>
        </w:rPr>
      </w:pPr>
    </w:p>
    <w:p w:rsidR="001D02F2" w:rsidRDefault="004F728E">
      <w:pPr>
        <w:jc w:val="both"/>
        <w:rPr>
          <w:color w:val="3366FF"/>
        </w:rPr>
      </w:pPr>
      <w:r>
        <w:rPr>
          <w:color w:val="auto"/>
        </w:rPr>
        <w:t xml:space="preserve">Bolj pogosto je plačilo odškodnine v denarju = </w:t>
      </w:r>
      <w:r>
        <w:rPr>
          <w:color w:val="3366FF"/>
        </w:rPr>
        <w:t>DENARNA EKVIVALENCA</w:t>
      </w:r>
    </w:p>
    <w:p w:rsidR="001D02F2" w:rsidRDefault="001D02F2">
      <w:pPr>
        <w:jc w:val="both"/>
      </w:pPr>
    </w:p>
    <w:p w:rsidR="001D02F2" w:rsidRDefault="004F728E">
      <w:pPr>
        <w:jc w:val="both"/>
        <w:rPr>
          <w:b/>
          <w:color w:val="FF00FF"/>
        </w:rPr>
      </w:pPr>
      <w:r>
        <w:rPr>
          <w:b/>
          <w:color w:val="FF00FF"/>
        </w:rPr>
        <w:t>Odškodnina pri nepremoženjski škodi</w:t>
      </w:r>
    </w:p>
    <w:p w:rsidR="001D02F2" w:rsidRDefault="004F728E">
      <w:pPr>
        <w:jc w:val="both"/>
        <w:rPr>
          <w:color w:val="3366FF"/>
        </w:rPr>
      </w:pPr>
      <w:r>
        <w:rPr>
          <w:color w:val="auto"/>
        </w:rPr>
        <w:t xml:space="preserve">Obseg nepremoženjske škode je teko določiti. Odškodnina se določi v obliki denarnega nadomestila = </w:t>
      </w:r>
      <w:r>
        <w:rPr>
          <w:color w:val="3366FF"/>
        </w:rPr>
        <w:t>SATISFAKCIJA.</w:t>
      </w:r>
    </w:p>
    <w:sectPr w:rsidR="001D02F2">
      <w:footnotePr>
        <w:pos w:val="beneathText"/>
      </w:footnotePr>
      <w:pgSz w:w="11905" w:h="16837"/>
      <w:pgMar w:top="71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28E"/>
    <w:rsid w:val="001D02F2"/>
    <w:rsid w:val="004F728E"/>
    <w:rsid w:val="009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color w:val="3F3F3F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