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083" w:rsidRDefault="002717BE">
      <w:pPr>
        <w:pStyle w:val="NormalWeb"/>
        <w:rPr>
          <w:sz w:val="28"/>
        </w:rPr>
      </w:pPr>
      <w:bookmarkStart w:id="0" w:name="_GoBack"/>
      <w:bookmarkEnd w:id="0"/>
      <w:r>
        <w:rPr>
          <w:rFonts w:ascii="Verdana" w:hAnsi="Verdana"/>
          <w:b/>
          <w:bCs/>
          <w:sz w:val="28"/>
          <w:szCs w:val="20"/>
        </w:rPr>
        <w:t>Ak. Dr. Anton Trstenjak</w:t>
      </w:r>
      <w:r>
        <w:rPr>
          <w:rFonts w:ascii="Verdana" w:hAnsi="Verdana"/>
          <w:sz w:val="28"/>
          <w:szCs w:val="15"/>
        </w:rPr>
        <w:br/>
        <w:t>1906-1996</w:t>
      </w:r>
      <w:r>
        <w:rPr>
          <w:rFonts w:ascii="Verdana" w:hAnsi="Verdana"/>
          <w:sz w:val="28"/>
          <w:szCs w:val="15"/>
        </w:rPr>
        <w:br/>
        <w:t xml:space="preserve">Profesor teologije, avtor knjig in znanstvenih razprav s področja filozofije in psihologije </w:t>
      </w:r>
    </w:p>
    <w:p w:rsidR="00D06083" w:rsidRDefault="002717BE">
      <w:pPr>
        <w:pStyle w:val="NormalWeb"/>
        <w:ind w:firstLine="720"/>
        <w:jc w:val="both"/>
        <w:rPr>
          <w:rFonts w:ascii="Verdana" w:hAnsi="Verdana"/>
          <w:sz w:val="28"/>
          <w:szCs w:val="15"/>
        </w:rPr>
      </w:pPr>
      <w:r>
        <w:rPr>
          <w:rFonts w:ascii="Verdana" w:hAnsi="Verdana"/>
          <w:sz w:val="28"/>
          <w:szCs w:val="15"/>
        </w:rPr>
        <w:t>Anton Trstenjak, psiholog, filozofski antropolog in teolog, se je rodil 8. januarja 1906 v Rodmošcih pri Gornji Radgoni. Osnovno šolo je končal v Negovi, klasično gimnazijo pa v Mariboru, kjer je tudi maturiral. Nato je eno leto študiral teologijo v Mariboru, od leta 1927 do 1933 pa filozofijo in teologijo v Insbrucku. Tam je leta 1929 doktoriral iz filozofije, leta 1933 pa še iz teologije.V Parizu se je strokovno izpopolnjeval, v Milanu pa se je specializiral v eksperimentalni psihologiji. Ker je bil posvečen tudi v duhovnika je svojo prvo službo opravljal kot katehet na realni gimnaziji v Mariboru, kasneje pa je služboval kot profesor filozofije na Visoki teološki šoli v Mariboru. Od leta 1940 pa do upokojitve, leta1973, je bil profesor filozofije in psihologije na Teološki fakulteti v Ljubljani. Zavrnil je docenturo na psihološkem inštitutu milanske univerze ter redno profesuro na graški univerzi.</w:t>
      </w:r>
      <w:r>
        <w:rPr>
          <w:rFonts w:ascii="Verdana" w:hAnsi="Verdana"/>
          <w:sz w:val="28"/>
          <w:szCs w:val="15"/>
        </w:rPr>
        <w:br/>
        <w:t>Strokovno in znanstveno je delal do zadnjega dne svojega življenja, če pa bi šteli izdane knjige, sta bili prav njegovi zadnji desetletji najbolj plodni. Bil je član več kot desetih znanstvenih organizacij doma in po svetu, zlasti s področja barv. Tako je postal redni član Slovenske in evropske akademije znanosti in umetnosti. Za svoje strokovno delo je dobil več visokih cerkvenih, državnih in znanstvenih odlikovanj. Imenovan je bil za papeževega častnega prelata, dobil je nagrado AVNOJ, postal je ambasador znanosti Republike Slovenije, dobil je več zlatih in častnih doktoratov.</w:t>
      </w:r>
    </w:p>
    <w:p w:rsidR="00D06083" w:rsidRDefault="002717BE">
      <w:pPr>
        <w:pStyle w:val="NormalWeb"/>
        <w:ind w:firstLine="720"/>
        <w:jc w:val="both"/>
        <w:rPr>
          <w:sz w:val="28"/>
        </w:rPr>
      </w:pPr>
      <w:r>
        <w:rPr>
          <w:rFonts w:ascii="Verdana" w:hAnsi="Verdana"/>
          <w:sz w:val="28"/>
          <w:szCs w:val="15"/>
        </w:rPr>
        <w:t>Trstenjak je napisal sedeminštirideset knjig v slovenščini in tujih jezikih. V domačih in tujih revijah in zbornikih je izšlo čez petsto njegovih strokovnih razprav in člankov. Njegove knjige in članke lahko razvrstimo v šest glavnih skupin: psihološka, antropološka, filozofska, kulturološka, narodnostna ter teološka dela.</w:t>
      </w:r>
    </w:p>
    <w:p w:rsidR="00D06083" w:rsidRDefault="00D06083">
      <w:pPr>
        <w:rPr>
          <w:sz w:val="28"/>
        </w:rPr>
      </w:pPr>
    </w:p>
    <w:sectPr w:rsidR="00D06083">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17BE"/>
    <w:rsid w:val="002717BE"/>
    <w:rsid w:val="00963739"/>
    <w:rsid w:val="00D060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2019-05-13T12:21:00Z</dcterms:created>
  <dcterms:modified xsi:type="dcterms:W3CDTF">2019-05-13T12:21:00Z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