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5E" w:rsidRDefault="00A0705E">
      <w:pPr>
        <w:rPr>
          <w:rFonts w:ascii="Century Gothic" w:hAnsi="Century Gothic"/>
        </w:rPr>
      </w:pPr>
      <w:bookmarkStart w:id="0" w:name="_GoBack"/>
      <w:bookmarkEnd w:id="0"/>
    </w:p>
    <w:p w:rsidR="00A0705E" w:rsidRDefault="0037698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Postopki zbiranja in statistične obdelave podatkov</w:t>
      </w:r>
    </w:p>
    <w:p w:rsidR="00A0705E" w:rsidRDefault="00A0705E">
      <w:pPr>
        <w:rPr>
          <w:rFonts w:ascii="Century Gothic" w:hAnsi="Century Gothic"/>
        </w:rPr>
      </w:pPr>
    </w:p>
    <w:p w:rsidR="00A0705E" w:rsidRDefault="0037698C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>
        <w:rPr>
          <w:rFonts w:ascii="Century Gothic" w:hAnsi="Century Gothic"/>
        </w:rPr>
        <w:t>Statistika preučuje metode zbiranja, urejanja, kvantitativne obdelave …</w:t>
      </w:r>
    </w:p>
    <w:p w:rsidR="00A0705E" w:rsidRDefault="0037698C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Populacija:</w:t>
      </w:r>
      <w:r>
        <w:rPr>
          <w:rFonts w:ascii="Century Gothic" w:hAnsi="Century Gothic"/>
        </w:rPr>
        <w:t xml:space="preserve"> množica pojavov (ljudi, predmetov, dogodkov), ki jo statistično preučujemo. </w:t>
      </w:r>
    </w:p>
    <w:p w:rsidR="00A0705E" w:rsidRDefault="0037698C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Enota:</w:t>
      </w:r>
      <w:r>
        <w:rPr>
          <w:rFonts w:ascii="Century Gothic" w:hAnsi="Century Gothic"/>
        </w:rPr>
        <w:t xml:space="preserve"> posamezen pojav.</w:t>
      </w:r>
    </w:p>
    <w:p w:rsidR="00A0705E" w:rsidRDefault="0037698C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Vzorec: </w:t>
      </w:r>
    </w:p>
    <w:p w:rsidR="00A0705E" w:rsidRDefault="0037698C">
      <w:pPr>
        <w:numPr>
          <w:ilvl w:val="1"/>
          <w:numId w:val="2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tisti del populacije, ki ga preučimo </w:t>
      </w:r>
      <w:r>
        <w:rPr>
          <w:rFonts w:ascii="Century Gothic" w:hAnsi="Century Gothic"/>
        </w:rPr>
        <w:t xml:space="preserve">(nato posplošimo). </w:t>
      </w:r>
    </w:p>
    <w:p w:rsidR="00A0705E" w:rsidRDefault="0037698C">
      <w:pPr>
        <w:numPr>
          <w:ilvl w:val="1"/>
          <w:numId w:val="2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Mora biti </w:t>
      </w:r>
      <w:r>
        <w:rPr>
          <w:rFonts w:ascii="Century Gothic" w:hAnsi="Century Gothic"/>
          <w:u w:val="single"/>
        </w:rPr>
        <w:t>reprezentativen</w:t>
      </w:r>
      <w:r>
        <w:rPr>
          <w:rFonts w:ascii="Century Gothic" w:hAnsi="Century Gothic"/>
        </w:rPr>
        <w:t xml:space="preserve"> – dober predstavnik populacije.</w:t>
      </w:r>
    </w:p>
    <w:p w:rsidR="00A0705E" w:rsidRDefault="0037698C">
      <w:pPr>
        <w:numPr>
          <w:ilvl w:val="1"/>
          <w:numId w:val="2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Zato mora biti dovolj velik, po strukturi pa čim bolj podoben populaciji.</w:t>
      </w:r>
    </w:p>
    <w:p w:rsidR="00A0705E" w:rsidRDefault="0037698C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>
        <w:rPr>
          <w:rFonts w:ascii="Century Gothic" w:hAnsi="Century Gothic"/>
        </w:rPr>
        <w:t>Osebe iz populacije izberemo naključno.</w:t>
      </w:r>
    </w:p>
    <w:p w:rsidR="00A0705E" w:rsidRDefault="0037698C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>
        <w:rPr>
          <w:rFonts w:ascii="Century Gothic" w:hAnsi="Century Gothic"/>
        </w:rPr>
        <w:t>Vrste spremenljivk: U str. 36.</w:t>
      </w:r>
    </w:p>
    <w:p w:rsidR="00A0705E" w:rsidRDefault="0037698C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Urejanje in prikazovanje podatkov:</w:t>
      </w:r>
    </w:p>
    <w:p w:rsidR="00A0705E" w:rsidRDefault="0037698C">
      <w:pPr>
        <w:numPr>
          <w:ilvl w:val="1"/>
          <w:numId w:val="2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Ranžirna vrsta:</w:t>
      </w:r>
      <w:r>
        <w:rPr>
          <w:rFonts w:ascii="Century Gothic" w:hAnsi="Century Gothic"/>
        </w:rPr>
        <w:t xml:space="preserve"> ureditev podatkov po velikosti. Vidimo najmanjši, največji, najbolj ponavljajoči rezultat, povprečje …</w:t>
      </w:r>
    </w:p>
    <w:p w:rsidR="00A0705E" w:rsidRDefault="0037698C">
      <w:pPr>
        <w:numPr>
          <w:ilvl w:val="1"/>
          <w:numId w:val="2"/>
        </w:numPr>
        <w:tabs>
          <w:tab w:val="left" w:pos="1080"/>
        </w:tabs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Frekvenčna porazdelitev individualnih rezultatov:</w:t>
      </w:r>
    </w:p>
    <w:p w:rsidR="00A0705E" w:rsidRDefault="0037698C">
      <w:pPr>
        <w:numPr>
          <w:ilvl w:val="2"/>
          <w:numId w:val="2"/>
        </w:numPr>
        <w:tabs>
          <w:tab w:val="left" w:pos="1800"/>
        </w:tabs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Frekvenca je št. ali delež ponovitev enake vrednosti. Odstotki in proporci.</w:t>
      </w:r>
    </w:p>
    <w:p w:rsidR="00A0705E" w:rsidRDefault="0037698C">
      <w:pPr>
        <w:numPr>
          <w:ilvl w:val="1"/>
          <w:numId w:val="2"/>
        </w:numPr>
        <w:tabs>
          <w:tab w:val="left" w:pos="1080"/>
        </w:tabs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Frekvenčna porazdelitev grupiranih rezultatov: </w:t>
      </w:r>
    </w:p>
    <w:p w:rsidR="00A0705E" w:rsidRDefault="0037698C">
      <w:pPr>
        <w:numPr>
          <w:ilvl w:val="2"/>
          <w:numId w:val="2"/>
        </w:numPr>
        <w:tabs>
          <w:tab w:val="left" w:pos="1800"/>
        </w:tabs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posamezne rezultate grupiramo v skupine, ki jih imenujemo razredi. V posamezne razrede vpišemo frekvence.</w:t>
      </w:r>
    </w:p>
    <w:p w:rsidR="00A0705E" w:rsidRDefault="0037698C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Lastnosti: ugotovimo katerih podatkov je največ/najmanj, ugotovimo nekakšno lastnost skupine, primerna za več podatkov, veliko oseb,</w:t>
      </w:r>
    </w:p>
    <w:p w:rsidR="00A0705E" w:rsidRDefault="0037698C">
      <w:pPr>
        <w:numPr>
          <w:ilvl w:val="1"/>
          <w:numId w:val="2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Grafični prikazi:</w:t>
      </w:r>
      <w:r>
        <w:rPr>
          <w:rFonts w:ascii="Century Gothic" w:hAnsi="Century Gothic"/>
        </w:rPr>
        <w:t xml:space="preserve"> Histogram in poligon.</w:t>
      </w:r>
    </w:p>
    <w:p w:rsidR="00A0705E" w:rsidRDefault="0037698C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Srednje vrednosti:</w:t>
      </w:r>
    </w:p>
    <w:p w:rsidR="00A0705E" w:rsidRDefault="0037698C">
      <w:pPr>
        <w:numPr>
          <w:ilvl w:val="1"/>
          <w:numId w:val="2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Aritmetična sredina:</w:t>
      </w:r>
      <w:r>
        <w:rPr>
          <w:rFonts w:ascii="Century Gothic" w:hAnsi="Century Gothic"/>
        </w:rPr>
        <w:t xml:space="preserve"> M, seštejemo vse rezultate in vsoto delimo s številom rezultatov. Najbolj natančna in občutljiva, upoštevamo vrednosti vseh rezultatov. Problem: ekstremne vrednosti.</w:t>
      </w:r>
    </w:p>
    <w:p w:rsidR="00A0705E" w:rsidRDefault="0037698C">
      <w:pPr>
        <w:numPr>
          <w:ilvl w:val="1"/>
          <w:numId w:val="2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Mediana:</w:t>
      </w:r>
      <w:r>
        <w:rPr>
          <w:rFonts w:ascii="Century Gothic" w:hAnsi="Century Gothic"/>
        </w:rPr>
        <w:t xml:space="preserve"> leži na sredini ranžirne vrste rezultatov. Je na položaju N+a/2. Ne upoštevamo vrednosti vseh rezultatov, je neodvisna od skrajnih vrednosti.</w:t>
      </w:r>
    </w:p>
    <w:p w:rsidR="00A0705E" w:rsidRDefault="0037698C">
      <w:pPr>
        <w:numPr>
          <w:ilvl w:val="1"/>
          <w:numId w:val="2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Modus:</w:t>
      </w:r>
      <w:r>
        <w:rPr>
          <w:rFonts w:ascii="Century Gothic" w:hAnsi="Century Gothic"/>
        </w:rPr>
        <w:t xml:space="preserve"> rezultat, ki se največkrat ponavlja. Mo. Upošteva le najpogostejšo vrednost, slaba občutljivost. </w:t>
      </w:r>
    </w:p>
    <w:p w:rsidR="00A0705E" w:rsidRDefault="0037698C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Razpršenost rezultatov:</w:t>
      </w:r>
    </w:p>
    <w:p w:rsidR="00A0705E" w:rsidRDefault="0037698C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Koliko so rezultati razpršeni okrog povprečja.</w:t>
      </w:r>
    </w:p>
    <w:p w:rsidR="00A0705E" w:rsidRDefault="0037698C">
      <w:pPr>
        <w:numPr>
          <w:ilvl w:val="1"/>
          <w:numId w:val="1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Razpon:</w:t>
      </w:r>
      <w:r>
        <w:rPr>
          <w:rFonts w:ascii="Century Gothic" w:hAnsi="Century Gothic"/>
        </w:rPr>
        <w:t xml:space="preserve"> razlika med najvišjim in najnižjim rezultatom.</w:t>
      </w:r>
    </w:p>
    <w:p w:rsidR="00A0705E" w:rsidRDefault="0037698C">
      <w:pPr>
        <w:numPr>
          <w:ilvl w:val="1"/>
          <w:numId w:val="1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Standardni odklon:</w:t>
      </w:r>
      <w:r>
        <w:rPr>
          <w:rFonts w:ascii="Century Gothic" w:hAnsi="Century Gothic"/>
        </w:rPr>
        <w:t xml:space="preserve"> Kolikšna so povprečna odstopanja od aritmetične sredine. SD ali σ. </w:t>
      </w:r>
    </w:p>
    <w:p w:rsidR="00A0705E" w:rsidRDefault="0037698C">
      <w:pPr>
        <w:numPr>
          <w:ilvl w:val="0"/>
          <w:numId w:val="3"/>
        </w:numPr>
        <w:tabs>
          <w:tab w:val="left" w:pos="720"/>
        </w:tabs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Normalna porazdelitev</w:t>
      </w:r>
    </w:p>
    <w:p w:rsidR="00A0705E" w:rsidRDefault="0037698C">
      <w:pPr>
        <w:numPr>
          <w:ilvl w:val="1"/>
          <w:numId w:val="3"/>
        </w:numPr>
        <w:tabs>
          <w:tab w:val="left" w:pos="1080"/>
        </w:tabs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Normalna ali Gaussova krivulja.</w:t>
      </w:r>
    </w:p>
    <w:p w:rsidR="00A0705E" w:rsidRDefault="0037698C">
      <w:pPr>
        <w:numPr>
          <w:ilvl w:val="1"/>
          <w:numId w:val="3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Je simetrična, zvonaste oblike in enovrha. </w:t>
      </w:r>
    </w:p>
    <w:p w:rsidR="00A0705E" w:rsidRDefault="0037698C">
      <w:pPr>
        <w:numPr>
          <w:ilvl w:val="1"/>
          <w:numId w:val="3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M+-1SD 68,3%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M+-2SD 95,4%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M+-3SD 99,7%</w:t>
      </w:r>
    </w:p>
    <w:p w:rsidR="00A0705E" w:rsidRDefault="0037698C">
      <w:pPr>
        <w:numPr>
          <w:ilvl w:val="1"/>
          <w:numId w:val="3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Kje se nahaja posamezen rezultat glede na druge rezultate. </w:t>
      </w:r>
    </w:p>
    <w:p w:rsidR="00A0705E" w:rsidRDefault="0037698C">
      <w:pPr>
        <w:numPr>
          <w:ilvl w:val="0"/>
          <w:numId w:val="3"/>
        </w:numPr>
        <w:tabs>
          <w:tab w:val="left" w:pos="720"/>
        </w:tabs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Povezanost med spremenljivkami – korelacija</w:t>
      </w:r>
    </w:p>
    <w:p w:rsidR="00A0705E" w:rsidRDefault="0037698C">
      <w:pPr>
        <w:numPr>
          <w:ilvl w:val="1"/>
          <w:numId w:val="3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Je soodvisnost med dvema pojavoma. </w:t>
      </w:r>
    </w:p>
    <w:p w:rsidR="00A0705E" w:rsidRDefault="0037698C">
      <w:pPr>
        <w:numPr>
          <w:ilvl w:val="1"/>
          <w:numId w:val="3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Dva pojava sta v korelaciji, če se s spreminjanjem enega spreminja drug.</w:t>
      </w:r>
    </w:p>
    <w:p w:rsidR="00A0705E" w:rsidRDefault="0037698C">
      <w:pPr>
        <w:numPr>
          <w:ilvl w:val="1"/>
          <w:numId w:val="3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lastRenderedPageBreak/>
        <w:t>Pearsonov koeficient korelacije r:</w:t>
      </w:r>
      <w:r>
        <w:rPr>
          <w:rFonts w:ascii="Century Gothic" w:hAnsi="Century Gothic"/>
        </w:rPr>
        <w:t xml:space="preserve"> pove, kako se obnaša ena spremenljivka, če se druga spremenljivka spreminja.</w:t>
      </w:r>
    </w:p>
    <w:p w:rsidR="00A0705E" w:rsidRDefault="0037698C">
      <w:pPr>
        <w:numPr>
          <w:ilvl w:val="1"/>
          <w:numId w:val="3"/>
        </w:numPr>
        <w:tabs>
          <w:tab w:val="left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0,25 nizek</w:t>
      </w:r>
      <w:r>
        <w:rPr>
          <w:rFonts w:ascii="Century Gothic" w:hAnsi="Century Gothic"/>
        </w:rPr>
        <w:tab/>
        <w:t>0,25-0,50 zmeren</w:t>
      </w:r>
      <w:r>
        <w:rPr>
          <w:rFonts w:ascii="Century Gothic" w:hAnsi="Century Gothic"/>
        </w:rPr>
        <w:tab/>
        <w:t>0,50-0,75 srednji</w:t>
      </w:r>
      <w:r>
        <w:rPr>
          <w:rFonts w:ascii="Century Gothic" w:hAnsi="Century Gothic"/>
        </w:rPr>
        <w:tab/>
        <w:t>0,75 … visok</w:t>
      </w:r>
    </w:p>
    <w:p w:rsidR="00A0705E" w:rsidRDefault="00A0705E"/>
    <w:sectPr w:rsidR="00A0705E">
      <w:footnotePr>
        <w:pos w:val="beneathText"/>
      </w:footnotePr>
      <w:pgSz w:w="11905" w:h="16837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hAnsi="Century Gothic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hAnsi="Century Gothic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98C"/>
    <w:rsid w:val="00271EE0"/>
    <w:rsid w:val="0037698C"/>
    <w:rsid w:val="00A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entury Gothic" w:eastAsia="Times New Roman" w:hAnsi="Century Gothic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entury Gothic" w:eastAsia="Times New Roman" w:hAnsi="Century Gothic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entury Gothic" w:eastAsia="Times New Roman" w:hAnsi="Century Gothic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