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4B" w:rsidRDefault="00904D39">
      <w:pPr>
        <w:pStyle w:val="Title"/>
        <w:rPr>
          <w:b/>
          <w:sz w:val="28"/>
        </w:rPr>
      </w:pPr>
      <w:bookmarkStart w:id="0" w:name="_GoBack"/>
      <w:bookmarkEnd w:id="0"/>
      <w:r>
        <w:rPr>
          <w:b/>
          <w:sz w:val="28"/>
        </w:rPr>
        <w:t>E S E J</w:t>
      </w:r>
    </w:p>
    <w:p w:rsidR="00BC584B" w:rsidRDefault="00BC584B">
      <w:pPr>
        <w:pStyle w:val="Title"/>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260"/>
        <w:gridCol w:w="3402"/>
        <w:gridCol w:w="1204"/>
      </w:tblGrid>
      <w:tr w:rsidR="00BC584B">
        <w:tc>
          <w:tcPr>
            <w:tcW w:w="1346" w:type="dxa"/>
            <w:tcBorders>
              <w:bottom w:val="single" w:sz="12" w:space="0" w:color="auto"/>
            </w:tcBorders>
          </w:tcPr>
          <w:p w:rsidR="00BC584B" w:rsidRDefault="00904D39">
            <w:pPr>
              <w:jc w:val="center"/>
              <w:rPr>
                <w:sz w:val="24"/>
              </w:rPr>
            </w:pPr>
            <w:r>
              <w:rPr>
                <w:noProof/>
                <w:sz w:val="24"/>
              </w:rPr>
              <w:sym w:font="Wingdings" w:char="F04A"/>
            </w:r>
          </w:p>
        </w:tc>
        <w:tc>
          <w:tcPr>
            <w:tcW w:w="3260" w:type="dxa"/>
            <w:tcBorders>
              <w:bottom w:val="single" w:sz="12" w:space="0" w:color="auto"/>
              <w:right w:val="single" w:sz="12" w:space="0" w:color="auto"/>
            </w:tcBorders>
          </w:tcPr>
          <w:p w:rsidR="00BC584B" w:rsidRDefault="00904D39">
            <w:pPr>
              <w:jc w:val="center"/>
              <w:rPr>
                <w:sz w:val="24"/>
              </w:rPr>
            </w:pPr>
            <w:r>
              <w:rPr>
                <w:sz w:val="24"/>
              </w:rPr>
              <w:t>ANTIGONA</w:t>
            </w:r>
          </w:p>
        </w:tc>
        <w:tc>
          <w:tcPr>
            <w:tcW w:w="3402" w:type="dxa"/>
            <w:tcBorders>
              <w:left w:val="nil"/>
              <w:bottom w:val="single" w:sz="12" w:space="0" w:color="auto"/>
            </w:tcBorders>
          </w:tcPr>
          <w:p w:rsidR="00BC584B" w:rsidRDefault="00904D39">
            <w:pPr>
              <w:jc w:val="center"/>
              <w:rPr>
                <w:sz w:val="24"/>
              </w:rPr>
            </w:pPr>
            <w:r>
              <w:rPr>
                <w:sz w:val="24"/>
              </w:rPr>
              <w:t>ISMENA</w:t>
            </w:r>
          </w:p>
        </w:tc>
        <w:tc>
          <w:tcPr>
            <w:tcW w:w="1204" w:type="dxa"/>
            <w:tcBorders>
              <w:bottom w:val="single" w:sz="12" w:space="0" w:color="auto"/>
            </w:tcBorders>
            <w:vAlign w:val="center"/>
          </w:tcPr>
          <w:p w:rsidR="00BC584B" w:rsidRDefault="00904D39">
            <w:pPr>
              <w:jc w:val="center"/>
              <w:rPr>
                <w:sz w:val="16"/>
              </w:rPr>
            </w:pPr>
            <w:r>
              <w:rPr>
                <w:sz w:val="16"/>
              </w:rPr>
              <w:t>?</w:t>
            </w:r>
          </w:p>
        </w:tc>
      </w:tr>
      <w:tr w:rsidR="00BC584B">
        <w:tc>
          <w:tcPr>
            <w:tcW w:w="1346" w:type="dxa"/>
            <w:tcBorders>
              <w:top w:val="single" w:sz="12" w:space="0" w:color="auto"/>
            </w:tcBorders>
            <w:vAlign w:val="center"/>
          </w:tcPr>
          <w:p w:rsidR="00BC584B" w:rsidRDefault="00904D39">
            <w:pPr>
              <w:jc w:val="center"/>
              <w:rPr>
                <w:sz w:val="24"/>
              </w:rPr>
            </w:pPr>
            <w:r>
              <w:rPr>
                <w:sz w:val="24"/>
              </w:rPr>
              <w:t>položaj</w:t>
            </w:r>
          </w:p>
        </w:tc>
        <w:tc>
          <w:tcPr>
            <w:tcW w:w="3260" w:type="dxa"/>
            <w:tcBorders>
              <w:top w:val="single" w:sz="12" w:space="0" w:color="auto"/>
              <w:right w:val="single" w:sz="12" w:space="0" w:color="auto"/>
            </w:tcBorders>
            <w:vAlign w:val="center"/>
          </w:tcPr>
          <w:p w:rsidR="00BC584B" w:rsidRDefault="00904D39">
            <w:pPr>
              <w:jc w:val="center"/>
              <w:rPr>
                <w:sz w:val="24"/>
              </w:rPr>
            </w:pPr>
            <w:r>
              <w:rPr>
                <w:sz w:val="24"/>
              </w:rPr>
              <w:t>ženska</w:t>
            </w:r>
          </w:p>
        </w:tc>
        <w:tc>
          <w:tcPr>
            <w:tcW w:w="3402" w:type="dxa"/>
            <w:tcBorders>
              <w:top w:val="single" w:sz="12" w:space="0" w:color="auto"/>
              <w:left w:val="nil"/>
            </w:tcBorders>
            <w:vAlign w:val="center"/>
          </w:tcPr>
          <w:p w:rsidR="00BC584B" w:rsidRDefault="00904D39">
            <w:pPr>
              <w:jc w:val="center"/>
              <w:rPr>
                <w:sz w:val="24"/>
              </w:rPr>
            </w:pPr>
            <w:r>
              <w:rPr>
                <w:sz w:val="24"/>
              </w:rPr>
              <w:t>ženska</w:t>
            </w:r>
          </w:p>
        </w:tc>
        <w:tc>
          <w:tcPr>
            <w:tcW w:w="1204" w:type="dxa"/>
            <w:tcBorders>
              <w:top w:val="single" w:sz="12" w:space="0" w:color="auto"/>
            </w:tcBorders>
            <w:vAlign w:val="center"/>
          </w:tcPr>
          <w:p w:rsidR="00BC584B" w:rsidRDefault="00904D39">
            <w:pPr>
              <w:jc w:val="center"/>
              <w:rPr>
                <w:sz w:val="16"/>
              </w:rPr>
            </w:pPr>
            <w:r>
              <w:rPr>
                <w:sz w:val="16"/>
              </w:rPr>
              <w:t>nimata družbenih pravic</w:t>
            </w:r>
          </w:p>
        </w:tc>
      </w:tr>
      <w:tr w:rsidR="00BC584B">
        <w:tc>
          <w:tcPr>
            <w:tcW w:w="1346" w:type="dxa"/>
            <w:vAlign w:val="center"/>
          </w:tcPr>
          <w:p w:rsidR="00BC584B" w:rsidRDefault="00904D39">
            <w:pPr>
              <w:jc w:val="center"/>
              <w:rPr>
                <w:b/>
                <w:sz w:val="24"/>
              </w:rPr>
            </w:pPr>
            <w:r>
              <w:rPr>
                <w:b/>
                <w:sz w:val="24"/>
              </w:rPr>
              <w:t>dejanje</w:t>
            </w:r>
          </w:p>
        </w:tc>
        <w:tc>
          <w:tcPr>
            <w:tcW w:w="3260" w:type="dxa"/>
            <w:tcBorders>
              <w:right w:val="single" w:sz="12" w:space="0" w:color="auto"/>
            </w:tcBorders>
            <w:vAlign w:val="center"/>
          </w:tcPr>
          <w:p w:rsidR="00BC584B" w:rsidRDefault="00904D39">
            <w:pPr>
              <w:jc w:val="center"/>
              <w:rPr>
                <w:sz w:val="24"/>
              </w:rPr>
            </w:pPr>
            <w:r>
              <w:rPr>
                <w:sz w:val="24"/>
              </w:rPr>
              <w:t>pokop brata</w:t>
            </w:r>
          </w:p>
        </w:tc>
        <w:tc>
          <w:tcPr>
            <w:tcW w:w="3402" w:type="dxa"/>
            <w:tcBorders>
              <w:left w:val="nil"/>
            </w:tcBorders>
            <w:vAlign w:val="center"/>
          </w:tcPr>
          <w:p w:rsidR="00BC584B" w:rsidRDefault="00904D39">
            <w:pPr>
              <w:jc w:val="center"/>
              <w:rPr>
                <w:sz w:val="24"/>
              </w:rPr>
            </w:pPr>
            <w:r>
              <w:rPr>
                <w:sz w:val="24"/>
              </w:rPr>
              <w:t>prepričuje Antigono v nasprotno</w:t>
            </w:r>
          </w:p>
        </w:tc>
        <w:tc>
          <w:tcPr>
            <w:tcW w:w="1204" w:type="dxa"/>
            <w:vAlign w:val="center"/>
          </w:tcPr>
          <w:p w:rsidR="00BC584B" w:rsidRDefault="00BC584B">
            <w:pPr>
              <w:jc w:val="center"/>
              <w:rPr>
                <w:sz w:val="16"/>
              </w:rPr>
            </w:pPr>
          </w:p>
        </w:tc>
      </w:tr>
      <w:tr w:rsidR="00BC584B">
        <w:tc>
          <w:tcPr>
            <w:tcW w:w="1346" w:type="dxa"/>
            <w:vAlign w:val="center"/>
          </w:tcPr>
          <w:p w:rsidR="00BC584B" w:rsidRDefault="00904D39">
            <w:pPr>
              <w:jc w:val="center"/>
              <w:rPr>
                <w:sz w:val="24"/>
              </w:rPr>
            </w:pPr>
            <w:r>
              <w:rPr>
                <w:sz w:val="24"/>
              </w:rPr>
              <w:t xml:space="preserve">uspeh </w:t>
            </w:r>
          </w:p>
        </w:tc>
        <w:tc>
          <w:tcPr>
            <w:tcW w:w="3260" w:type="dxa"/>
            <w:tcBorders>
              <w:right w:val="single" w:sz="12" w:space="0" w:color="auto"/>
            </w:tcBorders>
            <w:vAlign w:val="center"/>
          </w:tcPr>
          <w:p w:rsidR="00BC584B" w:rsidRDefault="00904D39">
            <w:pPr>
              <w:jc w:val="center"/>
              <w:rPr>
                <w:sz w:val="24"/>
              </w:rPr>
            </w:pPr>
            <w:r>
              <w:rPr>
                <w:sz w:val="24"/>
              </w:rPr>
              <w:t>uspešna</w:t>
            </w:r>
          </w:p>
        </w:tc>
        <w:tc>
          <w:tcPr>
            <w:tcW w:w="3402" w:type="dxa"/>
            <w:tcBorders>
              <w:left w:val="nil"/>
            </w:tcBorders>
            <w:vAlign w:val="center"/>
          </w:tcPr>
          <w:p w:rsidR="00BC584B" w:rsidRDefault="00904D39">
            <w:pPr>
              <w:jc w:val="center"/>
              <w:rPr>
                <w:sz w:val="24"/>
              </w:rPr>
            </w:pPr>
            <w:r>
              <w:rPr>
                <w:sz w:val="24"/>
              </w:rPr>
              <w:t>neuspešna</w:t>
            </w:r>
          </w:p>
        </w:tc>
        <w:tc>
          <w:tcPr>
            <w:tcW w:w="1204" w:type="dxa"/>
            <w:vAlign w:val="center"/>
          </w:tcPr>
          <w:p w:rsidR="00BC584B" w:rsidRDefault="00904D39">
            <w:pPr>
              <w:jc w:val="center"/>
              <w:rPr>
                <w:sz w:val="16"/>
              </w:rPr>
            </w:pPr>
            <w:r>
              <w:rPr>
                <w:sz w:val="16"/>
              </w:rPr>
              <w:t>značaj</w:t>
            </w:r>
          </w:p>
        </w:tc>
      </w:tr>
      <w:tr w:rsidR="00BC584B">
        <w:tc>
          <w:tcPr>
            <w:tcW w:w="1346" w:type="dxa"/>
            <w:vAlign w:val="center"/>
          </w:tcPr>
          <w:p w:rsidR="00BC584B" w:rsidRDefault="00904D39">
            <w:pPr>
              <w:jc w:val="center"/>
              <w:rPr>
                <w:sz w:val="24"/>
              </w:rPr>
            </w:pPr>
            <w:r>
              <w:rPr>
                <w:sz w:val="24"/>
              </w:rPr>
              <w:t>razlog</w:t>
            </w:r>
          </w:p>
        </w:tc>
        <w:tc>
          <w:tcPr>
            <w:tcW w:w="3260" w:type="dxa"/>
            <w:tcBorders>
              <w:right w:val="single" w:sz="12" w:space="0" w:color="auto"/>
            </w:tcBorders>
            <w:vAlign w:val="center"/>
          </w:tcPr>
          <w:p w:rsidR="00BC584B" w:rsidRDefault="00904D39">
            <w:pPr>
              <w:jc w:val="center"/>
              <w:rPr>
                <w:sz w:val="24"/>
              </w:rPr>
            </w:pPr>
            <w:r>
              <w:rPr>
                <w:sz w:val="24"/>
              </w:rPr>
              <w:t>božji zakon</w:t>
            </w:r>
          </w:p>
        </w:tc>
        <w:tc>
          <w:tcPr>
            <w:tcW w:w="3402" w:type="dxa"/>
            <w:tcBorders>
              <w:left w:val="nil"/>
            </w:tcBorders>
            <w:vAlign w:val="center"/>
          </w:tcPr>
          <w:p w:rsidR="00BC584B" w:rsidRDefault="00904D39">
            <w:pPr>
              <w:jc w:val="center"/>
              <w:rPr>
                <w:sz w:val="24"/>
              </w:rPr>
            </w:pPr>
            <w:r>
              <w:rPr>
                <w:sz w:val="24"/>
              </w:rPr>
              <w:t>družbeni položaj</w:t>
            </w:r>
          </w:p>
        </w:tc>
        <w:tc>
          <w:tcPr>
            <w:tcW w:w="1204" w:type="dxa"/>
            <w:vAlign w:val="center"/>
          </w:tcPr>
          <w:p w:rsidR="00BC584B" w:rsidRDefault="00904D39">
            <w:pPr>
              <w:jc w:val="center"/>
              <w:rPr>
                <w:sz w:val="16"/>
              </w:rPr>
            </w:pPr>
            <w:r>
              <w:rPr>
                <w:sz w:val="16"/>
              </w:rPr>
              <w:t>značaj</w:t>
            </w:r>
          </w:p>
        </w:tc>
      </w:tr>
      <w:tr w:rsidR="00BC584B">
        <w:tc>
          <w:tcPr>
            <w:tcW w:w="1346" w:type="dxa"/>
            <w:vAlign w:val="center"/>
          </w:tcPr>
          <w:p w:rsidR="00BC584B" w:rsidRDefault="00904D39">
            <w:pPr>
              <w:jc w:val="center"/>
              <w:rPr>
                <w:sz w:val="24"/>
              </w:rPr>
            </w:pPr>
            <w:r>
              <w:rPr>
                <w:sz w:val="24"/>
              </w:rPr>
              <w:t>posledice</w:t>
            </w:r>
          </w:p>
        </w:tc>
        <w:tc>
          <w:tcPr>
            <w:tcW w:w="3260" w:type="dxa"/>
            <w:tcBorders>
              <w:right w:val="single" w:sz="12" w:space="0" w:color="auto"/>
            </w:tcBorders>
            <w:vAlign w:val="center"/>
          </w:tcPr>
          <w:p w:rsidR="00BC584B" w:rsidRDefault="00904D39">
            <w:pPr>
              <w:jc w:val="center"/>
              <w:rPr>
                <w:sz w:val="24"/>
              </w:rPr>
            </w:pPr>
            <w:r>
              <w:rPr>
                <w:sz w:val="24"/>
              </w:rPr>
              <w:t>Antigono zaprejo, vzame si življenje</w:t>
            </w:r>
          </w:p>
        </w:tc>
        <w:tc>
          <w:tcPr>
            <w:tcW w:w="3402" w:type="dxa"/>
            <w:tcBorders>
              <w:left w:val="nil"/>
            </w:tcBorders>
            <w:vAlign w:val="center"/>
          </w:tcPr>
          <w:p w:rsidR="00BC584B" w:rsidRDefault="00904D39">
            <w:pPr>
              <w:jc w:val="center"/>
              <w:rPr>
                <w:sz w:val="24"/>
              </w:rPr>
            </w:pPr>
            <w:r>
              <w:rPr>
                <w:sz w:val="24"/>
              </w:rPr>
              <w:t>Ismena preživi, vendar je strta</w:t>
            </w:r>
          </w:p>
        </w:tc>
        <w:tc>
          <w:tcPr>
            <w:tcW w:w="1204" w:type="dxa"/>
            <w:vAlign w:val="center"/>
          </w:tcPr>
          <w:p w:rsidR="00BC584B" w:rsidRDefault="00BC584B">
            <w:pPr>
              <w:jc w:val="center"/>
              <w:rPr>
                <w:sz w:val="16"/>
              </w:rPr>
            </w:pPr>
          </w:p>
        </w:tc>
      </w:tr>
      <w:tr w:rsidR="00BC584B">
        <w:tc>
          <w:tcPr>
            <w:tcW w:w="1346" w:type="dxa"/>
            <w:vAlign w:val="center"/>
          </w:tcPr>
          <w:p w:rsidR="00BC584B" w:rsidRDefault="00904D39">
            <w:pPr>
              <w:jc w:val="center"/>
              <w:rPr>
                <w:b/>
                <w:sz w:val="24"/>
              </w:rPr>
            </w:pPr>
            <w:r>
              <w:rPr>
                <w:b/>
                <w:sz w:val="24"/>
              </w:rPr>
              <w:t>značaj</w:t>
            </w:r>
          </w:p>
        </w:tc>
        <w:tc>
          <w:tcPr>
            <w:tcW w:w="3260" w:type="dxa"/>
            <w:tcBorders>
              <w:right w:val="single" w:sz="12" w:space="0" w:color="auto"/>
            </w:tcBorders>
            <w:vAlign w:val="center"/>
          </w:tcPr>
          <w:p w:rsidR="00BC584B" w:rsidRDefault="00904D39">
            <w:pPr>
              <w:jc w:val="center"/>
              <w:rPr>
                <w:sz w:val="24"/>
              </w:rPr>
            </w:pPr>
            <w:r>
              <w:rPr>
                <w:sz w:val="24"/>
              </w:rPr>
              <w:t>trmasta, pogumna, vztrajna</w:t>
            </w:r>
          </w:p>
        </w:tc>
        <w:tc>
          <w:tcPr>
            <w:tcW w:w="3402" w:type="dxa"/>
            <w:tcBorders>
              <w:left w:val="nil"/>
            </w:tcBorders>
            <w:vAlign w:val="center"/>
          </w:tcPr>
          <w:p w:rsidR="00BC584B" w:rsidRDefault="00904D39">
            <w:pPr>
              <w:jc w:val="center"/>
              <w:rPr>
                <w:sz w:val="24"/>
              </w:rPr>
            </w:pPr>
            <w:r>
              <w:rPr>
                <w:sz w:val="24"/>
              </w:rPr>
              <w:t>pametna, previdna, bojazljiva</w:t>
            </w:r>
          </w:p>
        </w:tc>
        <w:tc>
          <w:tcPr>
            <w:tcW w:w="1204" w:type="dxa"/>
            <w:vAlign w:val="center"/>
          </w:tcPr>
          <w:p w:rsidR="00BC584B" w:rsidRDefault="00BC584B">
            <w:pPr>
              <w:jc w:val="center"/>
              <w:rPr>
                <w:sz w:val="16"/>
              </w:rPr>
            </w:pPr>
          </w:p>
        </w:tc>
      </w:tr>
      <w:tr w:rsidR="00BC584B">
        <w:tc>
          <w:tcPr>
            <w:tcW w:w="1346" w:type="dxa"/>
            <w:vAlign w:val="center"/>
          </w:tcPr>
          <w:p w:rsidR="00BC584B" w:rsidRDefault="00904D39">
            <w:pPr>
              <w:jc w:val="center"/>
              <w:rPr>
                <w:b/>
                <w:sz w:val="24"/>
              </w:rPr>
            </w:pPr>
            <w:r>
              <w:rPr>
                <w:b/>
                <w:sz w:val="24"/>
              </w:rPr>
              <w:t xml:space="preserve">+ </w:t>
            </w:r>
            <w:r>
              <w:rPr>
                <w:sz w:val="24"/>
              </w:rPr>
              <w:t>in</w:t>
            </w:r>
            <w:r>
              <w:rPr>
                <w:b/>
                <w:sz w:val="24"/>
              </w:rPr>
              <w:t xml:space="preserve"> -</w:t>
            </w:r>
          </w:p>
        </w:tc>
        <w:tc>
          <w:tcPr>
            <w:tcW w:w="3260" w:type="dxa"/>
            <w:tcBorders>
              <w:right w:val="single" w:sz="12" w:space="0" w:color="auto"/>
            </w:tcBorders>
            <w:vAlign w:val="center"/>
          </w:tcPr>
          <w:p w:rsidR="00BC584B" w:rsidRDefault="00904D39">
            <w:pPr>
              <w:jc w:val="center"/>
              <w:rPr>
                <w:sz w:val="24"/>
              </w:rPr>
            </w:pPr>
            <w:r>
              <w:rPr>
                <w:sz w:val="24"/>
              </w:rPr>
              <w:t>+ vztrajala je do konca</w:t>
            </w:r>
          </w:p>
        </w:tc>
        <w:tc>
          <w:tcPr>
            <w:tcW w:w="3402" w:type="dxa"/>
            <w:tcBorders>
              <w:left w:val="nil"/>
            </w:tcBorders>
            <w:vAlign w:val="center"/>
          </w:tcPr>
          <w:p w:rsidR="00BC584B" w:rsidRDefault="00904D39">
            <w:pPr>
              <w:jc w:val="center"/>
              <w:rPr>
                <w:sz w:val="24"/>
              </w:rPr>
            </w:pPr>
            <w:r>
              <w:rPr>
                <w:sz w:val="24"/>
              </w:rPr>
              <w:t>- Antigoni se je pridružila, ko je bilo delo že opravljeno</w:t>
            </w:r>
          </w:p>
        </w:tc>
        <w:tc>
          <w:tcPr>
            <w:tcW w:w="1204" w:type="dxa"/>
            <w:vAlign w:val="center"/>
          </w:tcPr>
          <w:p w:rsidR="00BC584B" w:rsidRDefault="00BC584B">
            <w:pPr>
              <w:jc w:val="center"/>
              <w:rPr>
                <w:sz w:val="16"/>
              </w:rPr>
            </w:pPr>
          </w:p>
        </w:tc>
      </w:tr>
    </w:tbl>
    <w:p w:rsidR="00BC584B" w:rsidRDefault="00BC584B">
      <w:pPr>
        <w:rPr>
          <w:sz w:val="24"/>
        </w:rPr>
      </w:pPr>
    </w:p>
    <w:p w:rsidR="00BC584B" w:rsidRDefault="00BC584B">
      <w:pPr>
        <w:rPr>
          <w:sz w:val="24"/>
        </w:rPr>
      </w:pPr>
    </w:p>
    <w:p w:rsidR="00BC584B" w:rsidRDefault="00904D39">
      <w:pPr>
        <w:jc w:val="center"/>
        <w:rPr>
          <w:sz w:val="24"/>
        </w:rPr>
      </w:pPr>
      <w:r>
        <w:rPr>
          <w:sz w:val="24"/>
        </w:rPr>
        <w:t>KATERA JE RAVNALA PRAV: ANTIGONA ALI ISMENA ?</w:t>
      </w:r>
    </w:p>
    <w:p w:rsidR="00BC584B" w:rsidRDefault="00BC584B">
      <w:pPr>
        <w:ind w:firstLine="567"/>
        <w:rPr>
          <w:sz w:val="24"/>
        </w:rPr>
      </w:pPr>
    </w:p>
    <w:p w:rsidR="00BC584B" w:rsidRDefault="00BC584B">
      <w:pPr>
        <w:ind w:firstLine="567"/>
        <w:rPr>
          <w:sz w:val="24"/>
        </w:rPr>
      </w:pPr>
    </w:p>
    <w:p w:rsidR="00BC584B" w:rsidRDefault="00904D39">
      <w:pPr>
        <w:pStyle w:val="BodyTextIndent"/>
      </w:pPr>
      <w:r>
        <w:t>Vprašanje o pravilnosti Antigoninega in Ismeninega dejanja izgleda na videz preprosto, a temu ni tako. Težko je odgovoriti na vprašanje, ki se nanaša na drugačno kulturo in drugačna načela, kot jih poznamo danes. Zato bom na to vprašanje odgovoril s stališča nekoga, ki sicer bežno pozna kulturo, šege in navade starih Grkov, ki pa živi v drugačnem času, z drugačnimi zakoni in drugačnimi vrednotami. Torej, v tem eseju bom primerjal pogumno, trmasto Antigono in pametno ter neodločno  Ismeno.</w:t>
      </w:r>
    </w:p>
    <w:p w:rsidR="00BC584B" w:rsidRDefault="00BC584B">
      <w:pPr>
        <w:ind w:firstLine="567"/>
        <w:jc w:val="both"/>
        <w:rPr>
          <w:sz w:val="24"/>
        </w:rPr>
      </w:pPr>
    </w:p>
    <w:p w:rsidR="00BC584B" w:rsidRDefault="00904D39">
      <w:pPr>
        <w:ind w:firstLine="567"/>
        <w:jc w:val="both"/>
        <w:rPr>
          <w:sz w:val="24"/>
        </w:rPr>
      </w:pPr>
      <w:r>
        <w:rPr>
          <w:sz w:val="24"/>
        </w:rPr>
        <w:t xml:space="preserve"> Prva stvar, ki jo velja izpostaviti, je družbeni položaj žensk v takratnem času. Ženske niso imele toliko pravic, kot moški in so se jim morale v vsem podrediti. Kljub temu pa je Antigona kljubovala ukazu, ki ga je izdal Kreon. Pokopala je svojega mrtvega brata, kar je Kreon strogo prepovedal, ker je napadel njegovo mesto. Kar je storila, je bilo izjemno pogumno. Ni mislila na posledice, ki bi jih to dejanje lahko prineslo, v njenih mislih je bila le ljubezen do brata in nezapisana božja zapoved, da mora pokojnika pokopati njegov najbljižji sorodnik, ki je še živ, drugače pade sramota na vso družino. To dolžnost je imela tudi Ismena, ki pa se je raje izgovorila na družbeni položaj, češ da je samo ženska, ki nima nobenih pravic. To je bilo res in Ismena, ker je mislila na posledice je skušala tudi Antigono pregovoriti s tem razlogom, a je Antigona ni hotela poslušati, saj je bila trdno prepričana v svoj prav. Tu se kaže Antigonina trma in velika samozavest, medtem ko je Ismena objektivna, a dokaj neodločna. </w:t>
      </w:r>
    </w:p>
    <w:p w:rsidR="00BC584B" w:rsidRDefault="00904D39">
      <w:pPr>
        <w:ind w:firstLine="567"/>
        <w:jc w:val="both"/>
        <w:rPr>
          <w:sz w:val="24"/>
        </w:rPr>
      </w:pPr>
      <w:r>
        <w:rPr>
          <w:sz w:val="24"/>
        </w:rPr>
        <w:t>Ko Antigona že pokoplje svojega brata in jo Kreon dobi v pest, se Ismena kar naenkrat postavi na njeno stran in se začne izdajati kot sokriva pri pokopu, vendar jo Antigona zavrne. Ismena je po vsej verjetnosti stopila na Antigonino stran, ker jo je zapekla vest, da ji ni pomagala, ali pa, ker se je zbala zanjo in je hotela biti ob njej. Torej, Ismena je bila zelo neodločna, a da se uspela postaviti za Antigono, je rabila veliko poguma in ji to zagotovo lahko štejemo v dobro. Slabo pa je to, da ni z njo potegnila že takoj na začetku. Pomembno dejstvo je tudi to, da Antigona na koncu umre, medtem ko Ismena preživi. Čeprev Antigonino dejanje odtehta njeno smrt, je vseeno na boljšem Ismena, ki je preživela.</w:t>
      </w:r>
    </w:p>
    <w:p w:rsidR="00BC584B" w:rsidRDefault="00BC584B">
      <w:pPr>
        <w:ind w:firstLine="567"/>
        <w:jc w:val="both"/>
        <w:rPr>
          <w:sz w:val="24"/>
        </w:rPr>
      </w:pPr>
    </w:p>
    <w:p w:rsidR="00BC584B" w:rsidRDefault="00904D39">
      <w:pPr>
        <w:ind w:firstLine="567"/>
        <w:jc w:val="both"/>
        <w:rPr>
          <w:sz w:val="24"/>
        </w:rPr>
      </w:pPr>
      <w:r>
        <w:rPr>
          <w:sz w:val="24"/>
        </w:rPr>
        <w:t>Torej, katera je ravnala prav, Antigona, ki je pokopala brata zaradi božjega zakona, ali Ismena, ki tega ni storila, a se je vseeno postavila na njeno stran? Ker imata obe dobre razloge za svoja dejanja, ne morem za nobeno reči, da je ravnala napak. Antigona se je ravnala po božjih zakonih, Ismena pa po družbenih.</w:t>
      </w:r>
    </w:p>
    <w:sectPr w:rsidR="00BC584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D39"/>
    <w:rsid w:val="00904D39"/>
    <w:rsid w:val="00AF3D11"/>
    <w:rsid w:val="00BC5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firstLine="567"/>
      <w:jc w:val="right"/>
      <w:outlineLvl w:val="1"/>
    </w:pPr>
    <w:rPr>
      <w:sz w:val="24"/>
    </w:rPr>
  </w:style>
  <w:style w:type="paragraph" w:styleId="Heading3">
    <w:name w:val="heading 3"/>
    <w:basedOn w:val="Normal"/>
    <w:next w:val="Normal"/>
    <w:qFormat/>
    <w:pPr>
      <w:keepNext/>
      <w:jc w:val="both"/>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semiHidden/>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