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AD" w:rsidRDefault="008E02AD">
      <w:pPr>
        <w:rPr>
          <w:rFonts w:ascii="Arial" w:hAnsi="Arial"/>
          <w:b/>
          <w:i/>
          <w:sz w:val="12"/>
          <w:szCs w:val="12"/>
        </w:rPr>
      </w:pPr>
      <w:bookmarkStart w:id="0" w:name="_GoBack"/>
      <w:bookmarkEnd w:id="0"/>
      <w:r>
        <w:rPr>
          <w:rFonts w:ascii="Arial" w:hAnsi="Arial"/>
          <w:b/>
          <w:i/>
          <w:sz w:val="12"/>
          <w:szCs w:val="12"/>
        </w:rPr>
        <w:t>SREDNJEVEŠKA KNJIŽEVNOST</w:t>
      </w:r>
    </w:p>
    <w:p w:rsidR="001264AD" w:rsidRDefault="008E02AD">
      <w:pPr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·</w:t>
      </w:r>
      <w:r>
        <w:rPr>
          <w:rFonts w:ascii="Arial" w:hAnsi="Arial"/>
          <w:sz w:val="12"/>
          <w:szCs w:val="12"/>
        </w:rPr>
        <w:tab/>
        <w:t>najvišji vrednoti sta podložnost bogu in fevdalcem</w:t>
      </w:r>
    </w:p>
    <w:p w:rsidR="001264AD" w:rsidRDefault="008E02AD">
      <w:pPr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·</w:t>
      </w:r>
      <w:r>
        <w:rPr>
          <w:rFonts w:ascii="Arial" w:hAnsi="Arial"/>
          <w:sz w:val="12"/>
          <w:szCs w:val="12"/>
        </w:rPr>
        <w:tab/>
        <w:t>v primerjavi z antiko človek ni več psihofizična celota ampak je pomembna le njegova duša</w:t>
      </w:r>
    </w:p>
    <w:p w:rsidR="001264AD" w:rsidRDefault="008E02AD">
      <w:pPr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·</w:t>
      </w:r>
      <w:r>
        <w:rPr>
          <w:rFonts w:ascii="Arial" w:hAnsi="Arial"/>
          <w:sz w:val="12"/>
          <w:szCs w:val="12"/>
        </w:rPr>
        <w:tab/>
        <w:t>zanemarjanje telesnosti, umazanija, kuga</w:t>
      </w:r>
    </w:p>
    <w:p w:rsidR="001264AD" w:rsidRDefault="008E02AD">
      <w:pPr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·</w:t>
      </w:r>
      <w:r>
        <w:rPr>
          <w:rFonts w:ascii="Arial" w:hAnsi="Arial"/>
          <w:sz w:val="12"/>
          <w:szCs w:val="12"/>
        </w:rPr>
        <w:tab/>
        <w:t>doba mračnjaštva-neizobraženost, nerazgledanost ljudi, podložnost dogmam</w:t>
      </w:r>
    </w:p>
    <w:p w:rsidR="001264AD" w:rsidRDefault="008E02AD">
      <w:pPr>
        <w:ind w:left="180" w:hanging="180"/>
        <w:rPr>
          <w:rFonts w:ascii="Arial" w:hAnsi="Arial"/>
          <w:i/>
          <w:sz w:val="12"/>
          <w:szCs w:val="12"/>
        </w:rPr>
      </w:pPr>
      <w:r>
        <w:rPr>
          <w:rFonts w:ascii="Arial" w:hAnsi="Arial"/>
          <w:i/>
          <w:sz w:val="12"/>
          <w:szCs w:val="12"/>
        </w:rPr>
        <w:t>·</w:t>
      </w:r>
      <w:r>
        <w:rPr>
          <w:rFonts w:ascii="Arial" w:hAnsi="Arial"/>
          <w:i/>
          <w:sz w:val="12"/>
          <w:szCs w:val="12"/>
        </w:rPr>
        <w:tab/>
        <w:t>oblike književnosti</w:t>
      </w:r>
    </w:p>
    <w:p w:rsidR="001264AD" w:rsidRDefault="008E02AD">
      <w:pPr>
        <w:tabs>
          <w:tab w:val="left" w:pos="36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</w:t>
      </w:r>
      <w:r>
        <w:rPr>
          <w:rFonts w:ascii="Arial" w:hAnsi="Arial"/>
          <w:sz w:val="12"/>
          <w:szCs w:val="12"/>
        </w:rPr>
        <w:tab/>
        <w:t>junaška epika</w:t>
      </w:r>
    </w:p>
    <w:p w:rsidR="001264AD" w:rsidRDefault="008E02AD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nacionalni epi s predelano zgod. snovjo</w:t>
      </w:r>
    </w:p>
    <w:p w:rsidR="001264AD" w:rsidRDefault="008E02AD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od 8. do 14.st</w:t>
      </w:r>
    </w:p>
    <w:p w:rsidR="001264AD" w:rsidRDefault="008E02AD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izpostavljeni fevdalna in krščanska ideja</w:t>
      </w:r>
    </w:p>
    <w:p w:rsidR="001264AD" w:rsidRDefault="008E02AD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Anglosaksonski ep: Beowulf iz 18.st</w:t>
      </w:r>
    </w:p>
    <w:p w:rsidR="001264AD" w:rsidRDefault="008E02AD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Fr. ep: Chansons de geste-od 9. do 12.st; 80 epov</w:t>
      </w:r>
    </w:p>
    <w:p w:rsidR="001264AD" w:rsidRDefault="008E02AD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Spev o Rolandu</w:t>
      </w:r>
    </w:p>
    <w:p w:rsidR="001264AD" w:rsidRDefault="008E02AD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ok. 1100, 4000 verzov, zgod. snov</w:t>
      </w:r>
    </w:p>
    <w:p w:rsidR="001264AD" w:rsidRDefault="008E02AD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Španski naci. ep: Pesnitev Lidu</w:t>
      </w:r>
    </w:p>
    <w:p w:rsidR="001264AD" w:rsidRDefault="008E02AD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Nem.: Hindelbrandova pesem</w:t>
      </w:r>
    </w:p>
    <w:p w:rsidR="001264AD" w:rsidRDefault="008E02AD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Spev o Nibelungih</w:t>
      </w:r>
    </w:p>
    <w:p w:rsidR="001264AD" w:rsidRDefault="008E02AD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Ruski ep: Beseda o pohodu Igorjevem</w:t>
      </w:r>
    </w:p>
    <w:p w:rsidR="001264AD" w:rsidRDefault="008E02AD">
      <w:pPr>
        <w:tabs>
          <w:tab w:val="left" w:pos="36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</w:t>
      </w:r>
      <w:r>
        <w:rPr>
          <w:rFonts w:ascii="Arial" w:hAnsi="Arial"/>
          <w:sz w:val="12"/>
          <w:szCs w:val="12"/>
        </w:rPr>
        <w:tab/>
        <w:t>književnost viteštva</w:t>
      </w:r>
    </w:p>
    <w:p w:rsidR="001264AD" w:rsidRDefault="008E02AD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viteški roman</w:t>
      </w:r>
    </w:p>
    <w:p w:rsidR="001264AD" w:rsidRDefault="008E02AD">
      <w:pPr>
        <w:tabs>
          <w:tab w:val="left" w:pos="360"/>
          <w:tab w:val="left" w:pos="540"/>
          <w:tab w:val="left" w:pos="72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a)</w:t>
      </w:r>
      <w:r>
        <w:rPr>
          <w:rFonts w:ascii="Arial" w:hAnsi="Arial"/>
          <w:sz w:val="12"/>
          <w:szCs w:val="12"/>
        </w:rPr>
        <w:tab/>
        <w:t>snov iz antike:</w:t>
      </w:r>
    </w:p>
    <w:p w:rsidR="001264AD" w:rsidRDefault="008E02AD">
      <w:pPr>
        <w:tabs>
          <w:tab w:val="left" w:pos="360"/>
          <w:tab w:val="left" w:pos="540"/>
          <w:tab w:val="left" w:pos="72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 viteški romani v verzih</w:t>
      </w:r>
    </w:p>
    <w:p w:rsidR="001264AD" w:rsidRDefault="008E02AD">
      <w:pPr>
        <w:tabs>
          <w:tab w:val="left" w:pos="360"/>
          <w:tab w:val="left" w:pos="540"/>
          <w:tab w:val="left" w:pos="72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 roman o Troji</w:t>
      </w:r>
    </w:p>
    <w:p w:rsidR="001264AD" w:rsidRDefault="008E02AD">
      <w:pPr>
        <w:tabs>
          <w:tab w:val="left" w:pos="360"/>
          <w:tab w:val="left" w:pos="540"/>
          <w:tab w:val="left" w:pos="72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 roman o Aleksandriji</w:t>
      </w:r>
    </w:p>
    <w:p w:rsidR="001264AD" w:rsidRDefault="008E02AD">
      <w:pPr>
        <w:tabs>
          <w:tab w:val="left" w:pos="360"/>
          <w:tab w:val="left" w:pos="540"/>
          <w:tab w:val="left" w:pos="72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b)</w:t>
      </w:r>
      <w:r>
        <w:rPr>
          <w:rFonts w:ascii="Arial" w:hAnsi="Arial"/>
          <w:sz w:val="12"/>
          <w:szCs w:val="12"/>
        </w:rPr>
        <w:tab/>
        <w:t>srednjeveška snov</w:t>
      </w:r>
    </w:p>
    <w:p w:rsidR="001264AD" w:rsidRDefault="008E02AD">
      <w:pPr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 Bretonski cikel: Kralj Arthur in vitezi okrogle mize; Roman o Tristanu in Izoldi: reknstr: Joseph Bedier; osebe: Kralj Mark, nečak Tristan, Izolda plavolasa, Izolda beloroka; ljubezensko pravljični roman</w:t>
      </w:r>
    </w:p>
    <w:p w:rsidR="001264AD" w:rsidRDefault="008E02AD">
      <w:pPr>
        <w:tabs>
          <w:tab w:val="left" w:pos="360"/>
          <w:tab w:val="left" w:pos="540"/>
          <w:tab w:val="left" w:pos="72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Karolinški cikel: o Karlu Velikem in njegovih</w:t>
      </w:r>
    </w:p>
    <w:p w:rsidR="001264AD" w:rsidRDefault="008E02AD">
      <w:pPr>
        <w:tabs>
          <w:tab w:val="left" w:pos="360"/>
          <w:tab w:val="left" w:pos="540"/>
          <w:tab w:val="left" w:pos="72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trubadurska lirika</w:t>
      </w:r>
    </w:p>
    <w:p w:rsidR="001264AD" w:rsidRDefault="008E02AD">
      <w:pPr>
        <w:tabs>
          <w:tab w:val="left" w:pos="360"/>
          <w:tab w:val="left" w:pos="540"/>
          <w:tab w:val="left" w:pos="72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trubadurji: trover-iznajditelj; potujoči plemiči</w:t>
      </w:r>
    </w:p>
    <w:p w:rsidR="001264AD" w:rsidRDefault="008E02AD">
      <w:pPr>
        <w:tabs>
          <w:tab w:val="left" w:pos="360"/>
          <w:tab w:val="left" w:pos="540"/>
          <w:tab w:val="left" w:pos="72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izraz družbene konvencije (navade)</w:t>
      </w:r>
    </w:p>
    <w:p w:rsidR="001264AD" w:rsidRDefault="008E02AD">
      <w:pPr>
        <w:tabs>
          <w:tab w:val="left" w:pos="360"/>
          <w:tab w:val="left" w:pos="540"/>
          <w:tab w:val="left" w:pos="72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nastala v Provansi (11.-14.st)</w:t>
      </w:r>
    </w:p>
    <w:p w:rsidR="001264AD" w:rsidRDefault="008E02AD">
      <w:pPr>
        <w:tabs>
          <w:tab w:val="left" w:pos="360"/>
          <w:tab w:val="left" w:pos="540"/>
          <w:tab w:val="left" w:pos="72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razvije posebne pes. obl.:</w:t>
      </w:r>
    </w:p>
    <w:p w:rsidR="001264AD" w:rsidRDefault="008E02AD">
      <w:pPr>
        <w:tabs>
          <w:tab w:val="left" w:pos="360"/>
          <w:tab w:val="left" w:pos="540"/>
          <w:tab w:val="left" w:pos="72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serenada ali podoknica</w:t>
      </w:r>
    </w:p>
    <w:p w:rsidR="001264AD" w:rsidRDefault="008E02AD">
      <w:pPr>
        <w:tabs>
          <w:tab w:val="left" w:pos="360"/>
          <w:tab w:val="left" w:pos="540"/>
          <w:tab w:val="left" w:pos="72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svitanica ali alba</w:t>
      </w:r>
    </w:p>
    <w:p w:rsidR="001264AD" w:rsidRDefault="008E02AD">
      <w:pPr>
        <w:tabs>
          <w:tab w:val="left" w:pos="360"/>
          <w:tab w:val="left" w:pos="540"/>
          <w:tab w:val="left" w:pos="72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sonet, tercina, kancona, balada</w:t>
      </w:r>
    </w:p>
    <w:p w:rsidR="001264AD" w:rsidRDefault="008E02AD">
      <w:pPr>
        <w:tabs>
          <w:tab w:val="left" w:pos="360"/>
          <w:tab w:val="left" w:pos="540"/>
          <w:tab w:val="left" w:pos="72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razcvet v Nem., Minnesänger</w:t>
      </w:r>
    </w:p>
    <w:p w:rsidR="001264AD" w:rsidRDefault="008E02AD">
      <w:pPr>
        <w:tabs>
          <w:tab w:val="left" w:pos="360"/>
          <w:tab w:val="left" w:pos="540"/>
          <w:tab w:val="left" w:pos="72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predst.: Guillaume de Poitier, Walter von den Vogelweider</w:t>
      </w:r>
    </w:p>
    <w:p w:rsidR="001264AD" w:rsidRDefault="008E02AD">
      <w:pPr>
        <w:tabs>
          <w:tab w:val="left" w:pos="36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</w:t>
      </w:r>
      <w:r>
        <w:rPr>
          <w:rFonts w:ascii="Arial" w:hAnsi="Arial"/>
          <w:sz w:val="12"/>
          <w:szCs w:val="12"/>
        </w:rPr>
        <w:tab/>
        <w:t>sladki novi stil</w:t>
      </w:r>
    </w:p>
    <w:p w:rsidR="001264AD" w:rsidRDefault="008E02AD">
      <w:pPr>
        <w:tabs>
          <w:tab w:val="left" w:pos="36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Dante Alighieri (1265-1321)</w:t>
      </w:r>
    </w:p>
    <w:p w:rsidR="001264AD" w:rsidRDefault="008E02AD">
      <w:pPr>
        <w:tabs>
          <w:tab w:val="left" w:pos="360"/>
          <w:tab w:val="left" w:pos="540"/>
          <w:tab w:val="left" w:pos="72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Firenze; Beatrice Portinari</w:t>
      </w:r>
    </w:p>
    <w:p w:rsidR="001264AD" w:rsidRDefault="008E02AD">
      <w:pPr>
        <w:tabs>
          <w:tab w:val="left" w:pos="360"/>
          <w:tab w:val="left" w:pos="540"/>
          <w:tab w:val="left" w:pos="72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 xml:space="preserve">dela: razprave v Lat. jeziku, dela v Ital. jeziku (zbirka 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sonetov Novo življenje, ep Božanska komedija)</w:t>
      </w:r>
    </w:p>
    <w:p w:rsidR="001264AD" w:rsidRDefault="008E02AD">
      <w:pPr>
        <w:tabs>
          <w:tab w:val="left" w:pos="360"/>
          <w:tab w:val="left" w:pos="540"/>
          <w:tab w:val="left" w:pos="72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Novo življenje: 30 sonetov, Beatrice, poduhovljena ljub. lirika)</w:t>
      </w:r>
    </w:p>
    <w:p w:rsidR="001264AD" w:rsidRDefault="008E02AD">
      <w:pPr>
        <w:tabs>
          <w:tab w:val="left" w:pos="360"/>
          <w:tab w:val="left" w:pos="540"/>
          <w:tab w:val="left" w:pos="72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 xml:space="preserve">relig. alegorični ep Bož. kom.: usoda duše po smrti; ok. 1300; 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100 spevov; Ptolmejev geocentrični system</w:t>
      </w:r>
    </w:p>
    <w:p w:rsidR="001264AD" w:rsidRDefault="008E02AD">
      <w:pPr>
        <w:tabs>
          <w:tab w:val="left" w:pos="36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</w:t>
      </w:r>
      <w:r>
        <w:rPr>
          <w:rFonts w:ascii="Arial" w:hAnsi="Arial"/>
          <w:sz w:val="12"/>
          <w:szCs w:val="12"/>
        </w:rPr>
        <w:tab/>
        <w:t>književnost italijanskih srednjeveških</w:t>
      </w:r>
    </w:p>
    <w:p w:rsidR="001264AD" w:rsidRDefault="008E02AD">
      <w:pPr>
        <w:tabs>
          <w:tab w:val="left" w:pos="360"/>
          <w:tab w:val="left" w:pos="540"/>
          <w:tab w:val="left" w:pos="72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Francesca de Rimini in Paolo Malatesta</w:t>
      </w:r>
    </w:p>
    <w:p w:rsidR="001264AD" w:rsidRDefault="008E02AD">
      <w:pPr>
        <w:tabs>
          <w:tab w:val="left" w:pos="360"/>
          <w:tab w:val="left" w:pos="540"/>
          <w:tab w:val="left" w:pos="72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Grof Ugolino: zgod. ozadje; iz težav z razumom+love; tercina</w:t>
      </w:r>
    </w:p>
    <w:p w:rsidR="001264AD" w:rsidRDefault="008E02AD">
      <w:pPr>
        <w:tabs>
          <w:tab w:val="left" w:pos="36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-</w:t>
      </w:r>
      <w:r>
        <w:rPr>
          <w:rFonts w:ascii="Arial" w:hAnsi="Arial"/>
          <w:sz w:val="12"/>
          <w:szCs w:val="12"/>
        </w:rPr>
        <w:tab/>
        <w:t>vagantska pozija</w:t>
      </w:r>
    </w:p>
    <w:p w:rsidR="001264AD" w:rsidRDefault="008E02AD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Francois Villon (1431-1463)</w:t>
      </w:r>
    </w:p>
    <w:p w:rsidR="001264AD" w:rsidRDefault="008E02AD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vaganti (vagabundi)-potujoči pevci</w:t>
      </w:r>
    </w:p>
    <w:p w:rsidR="001264AD" w:rsidRDefault="008E02AD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študiral na Sorboni</w:t>
      </w:r>
    </w:p>
    <w:p w:rsidR="001264AD" w:rsidRDefault="008E02AD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>zbirki: Veliki testament, Mali testament</w:t>
      </w:r>
    </w:p>
    <w:p w:rsidR="001264AD" w:rsidRDefault="008E02AD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 xml:space="preserve">motivi vagantske poez.: družbeno-kritična pesem; love songs; 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bivajska poezija; realistični stil pisanja; pogovorni jezik</w:t>
      </w:r>
    </w:p>
    <w:p w:rsidR="001264AD" w:rsidRDefault="008E02AD">
      <w:pPr>
        <w:tabs>
          <w:tab w:val="left" w:pos="360"/>
          <w:tab w:val="left" w:pos="540"/>
        </w:tabs>
        <w:ind w:left="180" w:hanging="18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-</w:t>
      </w:r>
      <w:r>
        <w:rPr>
          <w:rFonts w:ascii="Arial" w:hAnsi="Arial"/>
          <w:sz w:val="12"/>
          <w:szCs w:val="12"/>
        </w:rPr>
        <w:tab/>
        <w:t xml:space="preserve">laj, balada, epitaf (nagrobni)-v obliki balade-osebno izpovedna 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pesem; nagovor, spoštovanje mrtvih</w:t>
      </w:r>
    </w:p>
    <w:sectPr w:rsidR="001264A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2AD"/>
    <w:rsid w:val="001264AD"/>
    <w:rsid w:val="008E02AD"/>
    <w:rsid w:val="00A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