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13" w:rsidRDefault="00A1585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Kosovel – Slutnja: </w:t>
      </w:r>
    </w:p>
    <w:p w:rsidR="001A1113" w:rsidRDefault="001A1113">
      <w:pPr>
        <w:rPr>
          <w:rFonts w:ascii="Arial" w:hAnsi="Arial" w:cs="Arial"/>
        </w:rPr>
      </w:pPr>
    </w:p>
    <w:p w:rsidR="001A1113" w:rsidRDefault="00A15854">
      <w:pPr>
        <w:rPr>
          <w:rFonts w:ascii="Arial" w:hAnsi="Arial" w:cs="Arial"/>
        </w:rPr>
      </w:pPr>
      <w:r>
        <w:rPr>
          <w:rFonts w:ascii="Arial" w:hAnsi="Arial" w:cs="Arial"/>
        </w:rPr>
        <w:t>Ob pesmi bodite pozorni na nominalni slog (povedi brez glagolov!), ki učinkuje impresionistično (nizanje nepovezanih, samostojnih vtisov), obenem pa se povezuje v niz vtisov, ki dinamično prehajajo mimo lirskega subjekta (kar spominja na Župančiča – dinamika motivov nasproti tradicionalnim statičnim, negibnim motivom). Ta dinamika ponazarja vožnjo z vlakom, sama vožnja pa nekakšno slovo in slutnjo: tam motiv slovesa od starega (lepe pokrajine Krasa n vožnji v Ljubljano) pa je zančilen tudi za modernizem: slovo (lahko je tudi žalostno, a je NUJNO) od vsega starega, drvenje k novemu (pa čeprav to ni naša želja) in s tem destrukcija vsega starega. – Zato to impresionistično pesem (iz t. i. Kosovelovega »baržunastega«, tj. »mehkega«, novoromantičnega, impresionističnega obdobja, ko so v ospredju podobe Krasa) že lahko imamo za znanilko drugega, ekspresionističnega obdobja (raztrganost verza, motivi kataklizme, uničenja Evrope, iz katerega se bo rodilo novo).</w:t>
      </w:r>
    </w:p>
    <w:p w:rsidR="001A1113" w:rsidRDefault="001A1113"/>
    <w:sectPr w:rsidR="001A1113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854"/>
    <w:rsid w:val="001A1113"/>
    <w:rsid w:val="00873E73"/>
    <w:rsid w:val="00A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